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CB701">
      <w:pPr>
        <w:spacing w:before="100" w:beforeAutospacing="1" w:after="100" w:afterAutospacing="1" w:line="560" w:lineRule="exact"/>
        <w:jc w:val="center"/>
        <w:rPr>
          <w:rFonts w:hint="eastAsia" w:ascii="LinTimes" w:hAnsi="LinTimes" w:eastAsia="华文中宋" w:cs="LinTimes"/>
          <w:b/>
          <w:color w:val="000000"/>
          <w:sz w:val="44"/>
          <w:szCs w:val="44"/>
        </w:rPr>
      </w:pPr>
      <w:bookmarkStart w:id="0" w:name="OLE_LINK1"/>
    </w:p>
    <w:p w14:paraId="7E3035AA">
      <w:pPr>
        <w:spacing w:before="100" w:beforeAutospacing="1" w:after="100" w:afterAutospacing="1" w:line="560" w:lineRule="exact"/>
        <w:jc w:val="center"/>
        <w:rPr>
          <w:rFonts w:hint="eastAsia" w:ascii="LinTimes" w:hAnsi="LinTimes" w:eastAsia="华文中宋" w:cs="LinTimes"/>
          <w:b/>
          <w:color w:val="000000"/>
          <w:sz w:val="44"/>
          <w:szCs w:val="44"/>
        </w:rPr>
      </w:pPr>
    </w:p>
    <w:p w14:paraId="204921E4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AU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AU" w:eastAsia="zh-CN"/>
        </w:rPr>
        <w:t>第三届山东省职业技能大赛枣庄市选拔赛</w:t>
      </w:r>
    </w:p>
    <w:p w14:paraId="7DFC16E5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AU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化工总控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AU" w:eastAsia="zh-CN"/>
        </w:rPr>
        <w:t>项目技术工作文件</w:t>
      </w:r>
    </w:p>
    <w:p w14:paraId="054113D6">
      <w:pPr>
        <w:pStyle w:val="9"/>
        <w:jc w:val="center"/>
        <w:rPr>
          <w:rFonts w:hint="eastAsia" w:ascii="LinTimes" w:hAnsi="LinTimes" w:eastAsia="微软雅黑" w:cs="LinTimes"/>
          <w:lang w:eastAsia="zh-CN"/>
        </w:rPr>
      </w:pPr>
    </w:p>
    <w:p w14:paraId="5718FD3A">
      <w:pPr>
        <w:spacing w:line="560" w:lineRule="exact"/>
        <w:jc w:val="center"/>
        <w:rPr>
          <w:rFonts w:hint="eastAsia" w:ascii="LinTimes" w:hAnsi="LinTimes" w:cs="LinTimes"/>
          <w:lang w:val="en-AU"/>
        </w:rPr>
      </w:pPr>
    </w:p>
    <w:p w14:paraId="42EFE428">
      <w:pPr>
        <w:spacing w:line="560" w:lineRule="exact"/>
        <w:jc w:val="center"/>
        <w:rPr>
          <w:rFonts w:hint="eastAsia" w:ascii="LinTimes" w:hAnsi="LinTimes" w:cs="LinTimes"/>
          <w:lang w:val="en-AU"/>
        </w:rPr>
      </w:pPr>
    </w:p>
    <w:p w14:paraId="2DD4BB07">
      <w:pPr>
        <w:spacing w:line="560" w:lineRule="exact"/>
        <w:jc w:val="center"/>
        <w:rPr>
          <w:rFonts w:hint="eastAsia" w:ascii="LinTimes" w:hAnsi="LinTimes" w:cs="LinTimes"/>
          <w:lang w:val="en-AU"/>
        </w:rPr>
      </w:pPr>
    </w:p>
    <w:p w14:paraId="1C70AC0B">
      <w:pPr>
        <w:spacing w:line="560" w:lineRule="exact"/>
        <w:jc w:val="center"/>
        <w:rPr>
          <w:rFonts w:hint="eastAsia" w:ascii="LinTimes" w:hAnsi="LinTimes" w:cs="LinTimes"/>
          <w:lang w:val="en-AU"/>
        </w:rPr>
      </w:pPr>
    </w:p>
    <w:p w14:paraId="3B35039F">
      <w:pPr>
        <w:spacing w:line="560" w:lineRule="exact"/>
        <w:jc w:val="center"/>
        <w:rPr>
          <w:rFonts w:hint="eastAsia" w:ascii="LinTimes" w:hAnsi="LinTimes" w:cs="LinTimes"/>
          <w:lang w:val="en-AU"/>
        </w:rPr>
      </w:pPr>
    </w:p>
    <w:p w14:paraId="044E7F2A">
      <w:pPr>
        <w:pStyle w:val="10"/>
        <w:ind w:firstLine="640"/>
        <w:jc w:val="center"/>
        <w:rPr>
          <w:rFonts w:hint="eastAsia" w:ascii="LinTimes" w:hAnsi="LinTimes" w:cs="LinTimes"/>
          <w:lang w:val="en-AU"/>
        </w:rPr>
      </w:pPr>
    </w:p>
    <w:p w14:paraId="0FED989B">
      <w:pPr>
        <w:pStyle w:val="10"/>
        <w:ind w:firstLine="0" w:firstLineChars="0"/>
        <w:jc w:val="center"/>
        <w:rPr>
          <w:rFonts w:hint="eastAsia" w:ascii="LinTimes" w:hAnsi="LinTimes" w:cs="LinTimes"/>
          <w:lang w:val="en-AU"/>
        </w:rPr>
      </w:pPr>
    </w:p>
    <w:p w14:paraId="1343717F">
      <w:pPr>
        <w:pStyle w:val="10"/>
        <w:ind w:firstLine="640"/>
        <w:jc w:val="center"/>
        <w:rPr>
          <w:rFonts w:hint="eastAsia" w:ascii="LinTimes" w:hAnsi="LinTimes" w:cs="LinTimes"/>
          <w:lang w:val="en-AU"/>
        </w:rPr>
      </w:pPr>
    </w:p>
    <w:p w14:paraId="25FE24BB">
      <w:pPr>
        <w:pStyle w:val="10"/>
        <w:ind w:firstLine="640"/>
        <w:jc w:val="center"/>
        <w:rPr>
          <w:rFonts w:hint="eastAsia" w:ascii="LinTimes" w:hAnsi="LinTimes" w:cs="LinTimes"/>
          <w:lang w:val="en-AU"/>
        </w:rPr>
      </w:pPr>
    </w:p>
    <w:p w14:paraId="2EBD4ADD">
      <w:pPr>
        <w:pStyle w:val="10"/>
        <w:ind w:firstLine="640"/>
        <w:jc w:val="center"/>
        <w:rPr>
          <w:rFonts w:hint="eastAsia" w:ascii="LinTimes" w:hAnsi="LinTimes" w:cs="LinTimes"/>
          <w:lang w:val="en-AU"/>
        </w:rPr>
      </w:pPr>
    </w:p>
    <w:p w14:paraId="74498D2C">
      <w:pPr>
        <w:pStyle w:val="10"/>
        <w:ind w:firstLine="640"/>
        <w:jc w:val="center"/>
        <w:rPr>
          <w:rFonts w:hint="eastAsia" w:ascii="LinTimes" w:hAnsi="LinTimes" w:cs="LinTimes"/>
          <w:lang w:val="en-AU"/>
        </w:rPr>
      </w:pPr>
    </w:p>
    <w:p w14:paraId="781E8298">
      <w:pPr>
        <w:pStyle w:val="10"/>
        <w:ind w:firstLine="640"/>
        <w:jc w:val="center"/>
        <w:rPr>
          <w:rFonts w:hint="eastAsia" w:ascii="LinTimes" w:hAnsi="LinTimes" w:cs="LinTimes"/>
          <w:lang w:val="en-AU"/>
        </w:rPr>
      </w:pPr>
    </w:p>
    <w:p w14:paraId="3E756F8F">
      <w:pPr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  <w:lang w:val="en-AU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AU" w:eastAsia="zh-CN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lang w:val="en-AU" w:eastAsia="zh-CN"/>
        </w:rPr>
        <w:t>届山东省职业技能大赛</w:t>
      </w:r>
    </w:p>
    <w:p w14:paraId="4D13C2D0">
      <w:pPr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  <w:lang w:val="en-AU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AU"/>
        </w:rPr>
        <w:t>组委会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办公室</w:t>
      </w:r>
      <w:r>
        <w:rPr>
          <w:rFonts w:hint="eastAsia" w:ascii="仿宋_GB2312" w:hAnsi="仿宋_GB2312" w:eastAsia="仿宋_GB2312" w:cs="仿宋_GB2312"/>
          <w:sz w:val="32"/>
          <w:szCs w:val="32"/>
          <w:lang w:val="en-AU"/>
        </w:rPr>
        <w:t>技术工作组</w:t>
      </w:r>
    </w:p>
    <w:p w14:paraId="39BD7BA8">
      <w:pPr>
        <w:pStyle w:val="10"/>
        <w:ind w:firstLine="640"/>
        <w:jc w:val="center"/>
        <w:rPr>
          <w:rFonts w:hint="eastAsia" w:ascii="LinTimes" w:hAnsi="LinTimes" w:cs="LinTimes"/>
          <w:lang w:val="en-AU"/>
        </w:rPr>
      </w:pPr>
    </w:p>
    <w:p w14:paraId="3E184B66">
      <w:pPr>
        <w:pStyle w:val="10"/>
        <w:ind w:firstLine="0" w:firstLineChars="0"/>
        <w:jc w:val="center"/>
        <w:rPr>
          <w:rFonts w:hint="eastAsia" w:ascii="仿宋_GB2312" w:hAnsi="仿宋_GB2312" w:eastAsia="仿宋_GB2312" w:cs="仿宋_GB2312"/>
          <w:lang w:val="en-AU"/>
        </w:rPr>
      </w:pPr>
      <w:r>
        <w:rPr>
          <w:rFonts w:hint="eastAsia" w:ascii="仿宋_GB2312" w:hAnsi="仿宋_GB2312" w:cs="仿宋_GB231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lang w:val="en-AU"/>
        </w:rPr>
        <w:t>年</w:t>
      </w:r>
      <w:r>
        <w:rPr>
          <w:rFonts w:hint="eastAsia" w:ascii="仿宋_GB2312" w:hAnsi="仿宋_GB2312" w:cs="仿宋_GB231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lang w:val="en-AU"/>
        </w:rPr>
        <w:t>月</w:t>
      </w:r>
    </w:p>
    <w:p w14:paraId="03CBB919">
      <w:pPr>
        <w:spacing w:line="220" w:lineRule="auto"/>
        <w:jc w:val="both"/>
        <w:rPr>
          <w:rFonts w:ascii="FangSong_GB2312" w:hAnsi="FangSong_GB2312" w:eastAsia="FangSong_GB2312" w:cs="FangSong_GB2312"/>
          <w:sz w:val="31"/>
          <w:szCs w:val="31"/>
        </w:rPr>
        <w:sectPr>
          <w:headerReference r:id="rId3" w:type="default"/>
          <w:footerReference r:id="rId4" w:type="default"/>
          <w:pgSz w:w="11906" w:h="16839"/>
          <w:pgMar w:top="1431" w:right="1785" w:bottom="1171" w:left="1785" w:header="0" w:footer="852" w:gutter="0"/>
          <w:pgNumType w:fmt="decimal"/>
          <w:cols w:space="720" w:num="1"/>
        </w:sectPr>
      </w:pPr>
    </w:p>
    <w:p w14:paraId="310546F3">
      <w:pPr>
        <w:keepNext w:val="0"/>
        <w:keepLines w:val="0"/>
        <w:pageBreakBefore w:val="0"/>
        <w:widowControl w:val="0"/>
        <w:tabs>
          <w:tab w:val="left" w:leader="middleDot" w:pos="8400"/>
        </w:tabs>
        <w:kinsoku/>
        <w:wordWrap/>
        <w:overflowPunct/>
        <w:topLinePunct w:val="0"/>
        <w:autoSpaceDE/>
        <w:autoSpaceDN/>
        <w:bidi w:val="0"/>
        <w:spacing w:after="160" w:line="560" w:lineRule="exact"/>
        <w:jc w:val="center"/>
        <w:textAlignment w:val="auto"/>
        <w:rPr>
          <w:rFonts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</w:rPr>
        <w:t>目录</w:t>
      </w:r>
    </w:p>
    <w:p w14:paraId="549F9D48">
      <w:pPr>
        <w:pStyle w:val="10"/>
        <w:keepNext w:val="0"/>
        <w:keepLines w:val="0"/>
        <w:pageBreakBefore w:val="0"/>
        <w:widowControl w:val="0"/>
        <w:tabs>
          <w:tab w:val="left" w:leader="middleDot" w:pos="819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600" w:firstLineChars="200"/>
        <w:jc w:val="both"/>
        <w:textAlignment w:val="auto"/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</w:rPr>
        <w:t>一、技术描述</w:t>
      </w:r>
      <w:r>
        <w:rPr>
          <w:rFonts w:hint="eastAsia" w:ascii="黑体" w:hAnsi="黑体" w:eastAsia="黑体" w:cs="黑体"/>
          <w:sz w:val="30"/>
          <w:szCs w:val="30"/>
        </w:rPr>
        <w:tab/>
      </w:r>
      <w:r>
        <w:rPr>
          <w:rFonts w:hint="eastAsia" w:ascii="楷体_GB2312" w:hAnsi="楷体_GB2312" w:eastAsia="楷体_GB2312" w:cs="楷体_GB2312"/>
          <w:b w:val="0"/>
          <w:bCs w:val="0"/>
          <w:sz w:val="30"/>
          <w:szCs w:val="30"/>
          <w:lang w:val="en-US" w:eastAsia="zh-CN"/>
        </w:rPr>
        <w:t>3</w:t>
      </w:r>
    </w:p>
    <w:p w14:paraId="1535F377">
      <w:pPr>
        <w:pStyle w:val="10"/>
        <w:keepNext w:val="0"/>
        <w:keepLines w:val="0"/>
        <w:pageBreakBefore w:val="0"/>
        <w:widowControl w:val="0"/>
        <w:tabs>
          <w:tab w:val="left" w:leader="middleDot" w:pos="819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750" w:firstLineChars="250"/>
        <w:jc w:val="both"/>
        <w:textAlignment w:val="auto"/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</w:rPr>
        <w:t>（一）项目概要</w:t>
      </w:r>
      <w:r>
        <w:rPr>
          <w:rFonts w:hint="eastAsia" w:ascii="楷体_GB2312" w:hAnsi="楷体_GB2312" w:eastAsia="楷体_GB2312" w:cs="楷体_GB2312"/>
          <w:sz w:val="30"/>
          <w:szCs w:val="30"/>
        </w:rPr>
        <w:tab/>
      </w: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>3</w:t>
      </w:r>
    </w:p>
    <w:p w14:paraId="47689B0B">
      <w:pPr>
        <w:pStyle w:val="10"/>
        <w:keepNext w:val="0"/>
        <w:keepLines w:val="0"/>
        <w:pageBreakBefore w:val="0"/>
        <w:widowControl w:val="0"/>
        <w:tabs>
          <w:tab w:val="left" w:leader="middleDot" w:pos="819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750" w:firstLineChars="250"/>
        <w:jc w:val="both"/>
        <w:textAlignment w:val="auto"/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</w:rPr>
        <w:t>（二）基本知识与能力要求</w:t>
      </w: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ab/>
      </w: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>3</w:t>
      </w:r>
      <w:r>
        <w:rPr>
          <w:rFonts w:hint="eastAsia" w:ascii="楷体_GB2312" w:hAnsi="楷体_GB2312" w:eastAsia="楷体_GB2312" w:cs="楷体_GB2312"/>
          <w:sz w:val="30"/>
          <w:szCs w:val="30"/>
        </w:rPr>
        <w:tab/>
      </w:r>
    </w:p>
    <w:p w14:paraId="44A6E736">
      <w:pPr>
        <w:pStyle w:val="10"/>
        <w:keepNext w:val="0"/>
        <w:keepLines w:val="0"/>
        <w:pageBreakBefore w:val="0"/>
        <w:widowControl w:val="0"/>
        <w:tabs>
          <w:tab w:val="left" w:leader="middleDot" w:pos="819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600" w:firstLineChars="200"/>
        <w:jc w:val="both"/>
        <w:textAlignment w:val="auto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</w:rPr>
        <w:t>二、试题与评判标准</w:t>
      </w:r>
      <w:r>
        <w:rPr>
          <w:rFonts w:hint="eastAsia" w:ascii="黑体" w:hAnsi="黑体" w:eastAsia="黑体" w:cs="黑体"/>
          <w:sz w:val="30"/>
          <w:szCs w:val="30"/>
        </w:rPr>
        <w:tab/>
      </w: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>6</w:t>
      </w:r>
    </w:p>
    <w:p w14:paraId="596C7C7C">
      <w:pPr>
        <w:pStyle w:val="10"/>
        <w:keepNext w:val="0"/>
        <w:keepLines w:val="0"/>
        <w:pageBreakBefore w:val="0"/>
        <w:widowControl w:val="0"/>
        <w:tabs>
          <w:tab w:val="left" w:leader="middleDot" w:pos="819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750" w:firstLineChars="250"/>
        <w:jc w:val="both"/>
        <w:textAlignment w:val="auto"/>
        <w:rPr>
          <w:rFonts w:hint="default" w:ascii="楷体_GB2312" w:hAnsi="楷体_GB2312" w:eastAsia="楷体_GB2312" w:cs="楷体_GB2312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</w:rPr>
        <w:t>（一）试题（样题）</w:t>
      </w: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ab/>
      </w: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>6</w:t>
      </w:r>
    </w:p>
    <w:p w14:paraId="0F413DE4">
      <w:pPr>
        <w:pStyle w:val="10"/>
        <w:keepNext w:val="0"/>
        <w:keepLines w:val="0"/>
        <w:pageBreakBefore w:val="0"/>
        <w:widowControl w:val="0"/>
        <w:tabs>
          <w:tab w:val="left" w:leader="middleDot" w:pos="819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750" w:firstLineChars="250"/>
        <w:jc w:val="both"/>
        <w:textAlignment w:val="auto"/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</w:rPr>
        <w:t>（二）比赛时间及试题具体内容</w:t>
      </w:r>
      <w:r>
        <w:rPr>
          <w:rFonts w:hint="eastAsia" w:ascii="楷体_GB2312" w:hAnsi="楷体_GB2312" w:eastAsia="楷体_GB2312" w:cs="楷体_GB2312"/>
          <w:sz w:val="30"/>
          <w:szCs w:val="30"/>
        </w:rPr>
        <w:tab/>
      </w: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>6</w:t>
      </w:r>
    </w:p>
    <w:p w14:paraId="21A1B4A8">
      <w:pPr>
        <w:pStyle w:val="10"/>
        <w:keepNext w:val="0"/>
        <w:keepLines w:val="0"/>
        <w:pageBreakBefore w:val="0"/>
        <w:widowControl w:val="0"/>
        <w:tabs>
          <w:tab w:val="left" w:leader="middleDot" w:pos="819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750" w:firstLineChars="250"/>
        <w:jc w:val="both"/>
        <w:textAlignment w:val="auto"/>
        <w:rPr>
          <w:rFonts w:hint="eastAsia" w:eastAsia="楷体_GB2312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</w:rPr>
        <w:t>（三）评判标准</w:t>
      </w:r>
      <w:r>
        <w:rPr>
          <w:rFonts w:hint="eastAsia" w:ascii="楷体_GB2312" w:hAnsi="楷体_GB2312" w:eastAsia="楷体_GB2312" w:cs="楷体_GB2312"/>
          <w:sz w:val="30"/>
          <w:szCs w:val="30"/>
        </w:rPr>
        <w:tab/>
      </w: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>7</w:t>
      </w:r>
    </w:p>
    <w:p w14:paraId="66FA8F46">
      <w:pPr>
        <w:pStyle w:val="10"/>
        <w:keepNext w:val="0"/>
        <w:keepLines w:val="0"/>
        <w:pageBreakBefore w:val="0"/>
        <w:widowControl w:val="0"/>
        <w:tabs>
          <w:tab w:val="left" w:leader="middleDot" w:pos="819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600" w:firstLineChars="200"/>
        <w:jc w:val="both"/>
        <w:textAlignment w:val="auto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</w:rPr>
        <w:t>三、竞赛细则</w:t>
      </w:r>
      <w:r>
        <w:rPr>
          <w:rFonts w:hint="eastAsia" w:ascii="黑体" w:hAnsi="黑体" w:eastAsia="黑体" w:cs="黑体"/>
          <w:sz w:val="30"/>
          <w:szCs w:val="30"/>
        </w:rPr>
        <w:tab/>
      </w: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>9</w:t>
      </w:r>
    </w:p>
    <w:p w14:paraId="316EE8B3">
      <w:pPr>
        <w:pStyle w:val="10"/>
        <w:keepNext w:val="0"/>
        <w:keepLines w:val="0"/>
        <w:pageBreakBefore w:val="0"/>
        <w:widowControl w:val="0"/>
        <w:tabs>
          <w:tab w:val="left" w:leader="middleDot" w:pos="819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750" w:firstLineChars="250"/>
        <w:jc w:val="both"/>
        <w:textAlignment w:val="auto"/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</w:rPr>
        <w:t>（一）竞赛</w:t>
      </w: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>流程</w:t>
      </w:r>
      <w:r>
        <w:rPr>
          <w:rFonts w:hint="eastAsia" w:ascii="楷体_GB2312" w:hAnsi="楷体_GB2312" w:eastAsia="楷体_GB2312" w:cs="楷体_GB2312"/>
          <w:sz w:val="30"/>
          <w:szCs w:val="30"/>
        </w:rPr>
        <w:tab/>
      </w: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>9</w:t>
      </w:r>
    </w:p>
    <w:p w14:paraId="62568413">
      <w:pPr>
        <w:pStyle w:val="10"/>
        <w:keepNext w:val="0"/>
        <w:keepLines w:val="0"/>
        <w:pageBreakBefore w:val="0"/>
        <w:widowControl w:val="0"/>
        <w:tabs>
          <w:tab w:val="left" w:leader="middleDot" w:pos="819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750" w:firstLineChars="250"/>
        <w:jc w:val="both"/>
        <w:textAlignment w:val="auto"/>
        <w:rPr>
          <w:rFonts w:hint="default" w:ascii="楷体_GB2312" w:hAnsi="楷体_GB2312" w:eastAsia="楷体_GB2312" w:cs="楷体_GB2312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</w:rPr>
        <w:t>（二）裁判员须知</w:t>
      </w: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ab/>
      </w: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>12</w:t>
      </w:r>
    </w:p>
    <w:p w14:paraId="7B063965">
      <w:pPr>
        <w:pStyle w:val="10"/>
        <w:keepNext w:val="0"/>
        <w:keepLines w:val="0"/>
        <w:pageBreakBefore w:val="0"/>
        <w:widowControl w:val="0"/>
        <w:tabs>
          <w:tab w:val="left" w:leader="middleDot" w:pos="819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750" w:firstLineChars="250"/>
        <w:jc w:val="both"/>
        <w:textAlignment w:val="auto"/>
        <w:rPr>
          <w:rFonts w:hint="default" w:ascii="楷体_GB2312" w:hAnsi="楷体_GB2312" w:eastAsia="楷体_GB2312" w:cs="楷体_GB2312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</w:rPr>
        <w:t>（三）参赛选手须知</w:t>
      </w: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ab/>
      </w: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>12</w:t>
      </w:r>
    </w:p>
    <w:p w14:paraId="71543F15">
      <w:pPr>
        <w:pStyle w:val="10"/>
        <w:keepNext w:val="0"/>
        <w:keepLines w:val="0"/>
        <w:pageBreakBefore w:val="0"/>
        <w:widowControl w:val="0"/>
        <w:tabs>
          <w:tab w:val="left" w:leader="middleDot" w:pos="819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750" w:firstLineChars="250"/>
        <w:jc w:val="both"/>
        <w:textAlignment w:val="auto"/>
        <w:rPr>
          <w:rFonts w:hint="default" w:ascii="楷体_GB2312" w:hAnsi="楷体_GB2312" w:eastAsia="楷体_GB2312" w:cs="楷体_GB2312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</w:rPr>
        <w:t>（四）工作人员须知</w:t>
      </w: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ab/>
      </w: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>14</w:t>
      </w:r>
    </w:p>
    <w:p w14:paraId="55ED2039">
      <w:pPr>
        <w:pStyle w:val="10"/>
        <w:keepNext w:val="0"/>
        <w:keepLines w:val="0"/>
        <w:pageBreakBefore w:val="0"/>
        <w:widowControl w:val="0"/>
        <w:tabs>
          <w:tab w:val="left" w:leader="middleDot" w:pos="819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750" w:firstLineChars="250"/>
        <w:jc w:val="both"/>
        <w:textAlignment w:val="auto"/>
        <w:rPr>
          <w:rFonts w:hint="default" w:ascii="楷体_GB2312" w:hAnsi="楷体_GB2312" w:eastAsia="楷体_GB2312" w:cs="楷体_GB2312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</w:rPr>
        <w:t>（五）成绩公布</w:t>
      </w:r>
      <w:r>
        <w:rPr>
          <w:rFonts w:hint="eastAsia" w:ascii="楷体_GB2312" w:hAnsi="楷体_GB2312" w:eastAsia="楷体_GB2312" w:cs="楷体_GB2312"/>
          <w:sz w:val="30"/>
          <w:szCs w:val="30"/>
        </w:rPr>
        <w:tab/>
      </w: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>17</w:t>
      </w:r>
    </w:p>
    <w:p w14:paraId="7B16C5B0">
      <w:pPr>
        <w:pStyle w:val="10"/>
        <w:keepNext w:val="0"/>
        <w:keepLines w:val="0"/>
        <w:pageBreakBefore w:val="0"/>
        <w:widowControl w:val="0"/>
        <w:tabs>
          <w:tab w:val="left" w:leader="middleDot" w:pos="819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750" w:firstLineChars="250"/>
        <w:jc w:val="both"/>
        <w:textAlignment w:val="auto"/>
        <w:rPr>
          <w:rFonts w:hint="default" w:ascii="楷体_GB2312" w:hAnsi="楷体_GB2312" w:eastAsia="楷体_GB2312" w:cs="楷体_GB2312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</w:rPr>
        <w:t>（六）技术违规处理</w:t>
      </w:r>
      <w:r>
        <w:rPr>
          <w:rFonts w:hint="eastAsia" w:ascii="楷体_GB2312" w:hAnsi="楷体_GB2312" w:eastAsia="楷体_GB2312" w:cs="楷体_GB2312"/>
          <w:sz w:val="30"/>
          <w:szCs w:val="30"/>
        </w:rPr>
        <w:tab/>
      </w: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>17</w:t>
      </w:r>
    </w:p>
    <w:p w14:paraId="3F2458B8">
      <w:pPr>
        <w:pStyle w:val="10"/>
        <w:keepNext w:val="0"/>
        <w:keepLines w:val="0"/>
        <w:pageBreakBefore w:val="0"/>
        <w:widowControl w:val="0"/>
        <w:tabs>
          <w:tab w:val="left" w:leader="middleDot" w:pos="819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750" w:firstLineChars="250"/>
        <w:jc w:val="both"/>
        <w:textAlignment w:val="auto"/>
        <w:rPr>
          <w:rFonts w:hint="default" w:ascii="楷体_GB2312" w:hAnsi="楷体_GB2312" w:eastAsia="楷体_GB2312" w:cs="楷体_GB2312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</w:rPr>
        <w:t>（七）问题或争议处理</w:t>
      </w: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ab/>
      </w: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>17</w:t>
      </w:r>
    </w:p>
    <w:p w14:paraId="11BF4750">
      <w:pPr>
        <w:pStyle w:val="10"/>
        <w:keepNext w:val="0"/>
        <w:keepLines w:val="0"/>
        <w:pageBreakBefore w:val="0"/>
        <w:widowControl w:val="0"/>
        <w:tabs>
          <w:tab w:val="left" w:leader="middleDot" w:pos="819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600" w:firstLineChars="200"/>
        <w:jc w:val="both"/>
        <w:textAlignment w:val="auto"/>
        <w:rPr>
          <w:rFonts w:hint="default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</w:rPr>
        <w:t>四、竞赛场地、设施设备等安排</w:t>
      </w:r>
      <w:r>
        <w:rPr>
          <w:rFonts w:hint="eastAsia" w:ascii="黑体" w:hAnsi="黑体" w:eastAsia="黑体" w:cs="黑体"/>
          <w:sz w:val="30"/>
          <w:szCs w:val="30"/>
        </w:rPr>
        <w:tab/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18</w:t>
      </w:r>
    </w:p>
    <w:p w14:paraId="1648822F">
      <w:pPr>
        <w:pStyle w:val="10"/>
        <w:keepNext w:val="0"/>
        <w:keepLines w:val="0"/>
        <w:pageBreakBefore w:val="0"/>
        <w:widowControl w:val="0"/>
        <w:tabs>
          <w:tab w:val="left" w:leader="middleDot" w:pos="819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750" w:firstLineChars="250"/>
        <w:jc w:val="both"/>
        <w:textAlignment w:val="auto"/>
        <w:rPr>
          <w:rFonts w:hint="default" w:ascii="楷体_GB2312" w:hAnsi="楷体_GB2312" w:eastAsia="楷体_GB2312" w:cs="楷体_GB2312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</w:rPr>
        <w:t>（一）赛场规格要求</w:t>
      </w:r>
      <w:r>
        <w:rPr>
          <w:rFonts w:hint="eastAsia" w:ascii="楷体_GB2312" w:hAnsi="楷体_GB2312" w:eastAsia="楷体_GB2312" w:cs="楷体_GB2312"/>
          <w:sz w:val="30"/>
          <w:szCs w:val="30"/>
        </w:rPr>
        <w:tab/>
      </w: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>18</w:t>
      </w:r>
    </w:p>
    <w:p w14:paraId="23062E1B">
      <w:pPr>
        <w:pStyle w:val="10"/>
        <w:keepNext w:val="0"/>
        <w:keepLines w:val="0"/>
        <w:pageBreakBefore w:val="0"/>
        <w:widowControl w:val="0"/>
        <w:tabs>
          <w:tab w:val="left" w:leader="middleDot" w:pos="819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596" w:leftChars="284" w:firstLine="150" w:firstLineChars="50"/>
        <w:jc w:val="both"/>
        <w:textAlignment w:val="auto"/>
        <w:rPr>
          <w:rFonts w:hint="default" w:eastAsia="楷体_GB2312" w:cs="Times New Roman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</w:rPr>
        <w:t>（二）场地布局图</w:t>
      </w:r>
      <w:r>
        <w:rPr>
          <w:rFonts w:hint="eastAsia" w:ascii="楷体_GB2312" w:hAnsi="楷体_GB2312" w:eastAsia="楷体_GB2312" w:cs="楷体_GB2312"/>
          <w:sz w:val="30"/>
          <w:szCs w:val="30"/>
        </w:rPr>
        <w:tab/>
      </w: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>18</w:t>
      </w:r>
      <w:r>
        <w:rPr>
          <w:rFonts w:hint="eastAsia" w:ascii="楷体_GB2312" w:hAnsi="楷体_GB2312" w:eastAsia="楷体_GB2312" w:cs="楷体_GB2312"/>
          <w:sz w:val="30"/>
          <w:szCs w:val="30"/>
        </w:rPr>
        <w:t>（三）基础设施清单</w:t>
      </w:r>
      <w:r>
        <w:rPr>
          <w:rFonts w:hint="eastAsia" w:ascii="楷体_GB2312" w:hAnsi="楷体_GB2312" w:eastAsia="楷体_GB2312" w:cs="楷体_GB2312"/>
          <w:sz w:val="30"/>
          <w:szCs w:val="30"/>
        </w:rPr>
        <w:tab/>
      </w: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>20</w:t>
      </w:r>
    </w:p>
    <w:p w14:paraId="3274B279">
      <w:pPr>
        <w:pStyle w:val="10"/>
        <w:keepNext w:val="0"/>
        <w:keepLines w:val="0"/>
        <w:pageBreakBefore w:val="0"/>
        <w:widowControl w:val="0"/>
        <w:tabs>
          <w:tab w:val="left" w:leader="middleDot" w:pos="819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600" w:firstLineChars="200"/>
        <w:jc w:val="both"/>
        <w:textAlignment w:val="auto"/>
        <w:rPr>
          <w:rFonts w:hint="default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五</w:t>
      </w:r>
      <w:r>
        <w:rPr>
          <w:rFonts w:hint="eastAsia" w:ascii="黑体" w:hAnsi="黑体" w:eastAsia="黑体" w:cs="黑体"/>
          <w:sz w:val="30"/>
          <w:szCs w:val="30"/>
        </w:rPr>
        <w:t>、安全健康要求</w:t>
      </w:r>
      <w:r>
        <w:rPr>
          <w:rFonts w:hint="eastAsia" w:ascii="黑体" w:hAnsi="黑体" w:eastAsia="黑体" w:cs="黑体"/>
          <w:sz w:val="30"/>
          <w:szCs w:val="30"/>
        </w:rPr>
        <w:tab/>
      </w: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>21</w:t>
      </w:r>
    </w:p>
    <w:p w14:paraId="762E2BB2">
      <w:pPr>
        <w:pStyle w:val="10"/>
        <w:keepNext w:val="0"/>
        <w:keepLines w:val="0"/>
        <w:pageBreakBefore w:val="0"/>
        <w:widowControl w:val="0"/>
        <w:tabs>
          <w:tab w:val="left" w:leader="middleDot" w:pos="819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600" w:firstLineChars="200"/>
        <w:jc w:val="both"/>
        <w:textAlignment w:val="auto"/>
        <w:rPr>
          <w:rFonts w:hint="default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六、其他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ab/>
      </w: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>21</w:t>
      </w:r>
    </w:p>
    <w:p w14:paraId="0FE632E4">
      <w:pPr>
        <w:keepNext w:val="0"/>
        <w:keepLines w:val="0"/>
        <w:pageBreakBefore w:val="0"/>
        <w:widowControl w:val="0"/>
        <w:tabs>
          <w:tab w:val="left" w:leader="middleDot" w:pos="630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ascii="LinTimes" w:hAnsi="LinTimes" w:eastAsia="黑体" w:cs="LinTimes"/>
          <w:bCs/>
          <w:sz w:val="32"/>
          <w:szCs w:val="32"/>
        </w:rPr>
        <w:br w:type="page"/>
      </w:r>
      <w:r>
        <w:rPr>
          <w:rFonts w:hint="eastAsia" w:ascii="黑体" w:hAnsi="黑体" w:eastAsia="黑体" w:cs="黑体"/>
          <w:bCs/>
          <w:sz w:val="32"/>
          <w:szCs w:val="32"/>
        </w:rPr>
        <w:t>一、技术描述</w:t>
      </w:r>
    </w:p>
    <w:p w14:paraId="7916EC64">
      <w:pPr>
        <w:spacing w:line="560" w:lineRule="exact"/>
        <w:ind w:firstLine="640" w:firstLineChars="200"/>
        <w:jc w:val="both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（一）项目概要</w:t>
      </w:r>
    </w:p>
    <w:p w14:paraId="5F3BF4BC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化工总控项目是通过动态模拟软件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和常见</w:t>
      </w:r>
      <w:r>
        <w:rPr>
          <w:rFonts w:hint="eastAsia" w:ascii="仿宋_GB2312" w:hAnsi="仿宋_GB2312" w:eastAsia="仿宋_GB2312" w:cs="仿宋_GB2312"/>
          <w:sz w:val="32"/>
          <w:szCs w:val="32"/>
        </w:rPr>
        <w:t>化工生产装置，对化工生产过程进行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开停车</w:t>
      </w:r>
      <w:r>
        <w:rPr>
          <w:rFonts w:hint="eastAsia" w:ascii="仿宋_GB2312" w:hAnsi="仿宋_GB2312" w:eastAsia="仿宋_GB2312" w:cs="仿宋_GB2312"/>
          <w:sz w:val="32"/>
          <w:szCs w:val="32"/>
        </w:rPr>
        <w:t>操作、工艺优化与故障处理的竞赛项目。比赛中对选手的技能要求主要包括：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识别装置隐患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完成装置</w:t>
      </w:r>
      <w:r>
        <w:rPr>
          <w:rFonts w:hint="eastAsia" w:ascii="仿宋_GB2312" w:hAnsi="仿宋_GB2312" w:eastAsia="仿宋_GB2312" w:cs="仿宋_GB2312"/>
          <w:sz w:val="32"/>
          <w:szCs w:val="32"/>
        </w:rPr>
        <w:t>冷态开车、稳态生产、正常停车及处理生产事故的能力。</w:t>
      </w:r>
    </w:p>
    <w:p w14:paraId="5693FADA">
      <w:pPr>
        <w:spacing w:line="560" w:lineRule="exact"/>
        <w:ind w:firstLine="640" w:firstLineChars="200"/>
        <w:jc w:val="both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（二）基本知识与能力要求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8"/>
        <w:gridCol w:w="4982"/>
        <w:gridCol w:w="2068"/>
      </w:tblGrid>
      <w:tr w14:paraId="1CDC4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65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5558C0">
            <w:pPr>
              <w:pStyle w:val="24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相关要求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8B0DE2">
            <w:pPr>
              <w:pStyle w:val="24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权重比例(%)</w:t>
            </w:r>
          </w:p>
        </w:tc>
      </w:tr>
      <w:tr w14:paraId="6163B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FD46B">
            <w:pPr>
              <w:pStyle w:val="24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4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A12E7">
            <w:pPr>
              <w:pStyle w:val="24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化工单元虚拟现实3D仿真操作</w:t>
            </w:r>
          </w:p>
        </w:tc>
        <w:tc>
          <w:tcPr>
            <w:tcW w:w="20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11CE4">
            <w:pPr>
              <w:pStyle w:val="24"/>
              <w:snapToGrid w:val="0"/>
              <w:spacing w:before="159" w:beforeLines="50" w:after="159" w:afterLines="50" w:line="240" w:lineRule="atLeast"/>
              <w:jc w:val="center"/>
              <w:rPr>
                <w:rFonts w:hint="default" w:ascii="方正仿宋_GB2312" w:hAnsi="方正仿宋_GB2312" w:eastAsia="方正仿宋_GB2312" w:cs="方正仿宋_GB2312"/>
                <w:bCs/>
                <w:color w:val="auto"/>
                <w:sz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lang w:val="en-US" w:eastAsia="zh-CN"/>
              </w:rPr>
              <w:t>50</w:t>
            </w:r>
          </w:p>
        </w:tc>
      </w:tr>
      <w:tr w14:paraId="738DF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6BC31">
            <w:pPr>
              <w:pStyle w:val="24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基本知识</w:t>
            </w:r>
          </w:p>
        </w:tc>
        <w:tc>
          <w:tcPr>
            <w:tcW w:w="4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4717B">
            <w:pPr>
              <w:pStyle w:val="24"/>
              <w:snapToGrid w:val="0"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—DCS系统的基础知识</w:t>
            </w:r>
          </w:p>
          <w:p w14:paraId="4DC18711">
            <w:pPr>
              <w:pStyle w:val="24"/>
              <w:snapToGrid w:val="0"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—冷热媒等介质引入操作知识</w:t>
            </w:r>
          </w:p>
          <w:p w14:paraId="35627DE0">
            <w:pPr>
              <w:pStyle w:val="24"/>
              <w:snapToGrid w:val="0"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—原辅料计量知识</w:t>
            </w:r>
          </w:p>
          <w:p w14:paraId="5526ECA2">
            <w:pPr>
              <w:pStyle w:val="24"/>
              <w:snapToGrid w:val="0"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—原辅料引入的操作知识</w:t>
            </w:r>
          </w:p>
          <w:p w14:paraId="1899ABFB">
            <w:pPr>
              <w:pStyle w:val="24"/>
              <w:snapToGrid w:val="0"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—机泵等设备开车操作知识</w:t>
            </w:r>
          </w:p>
          <w:p w14:paraId="09E74A5C">
            <w:pPr>
              <w:pStyle w:val="24"/>
              <w:snapToGrid w:val="0"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—自控系统界面操作知识</w:t>
            </w:r>
          </w:p>
          <w:p w14:paraId="13B6F462">
            <w:pPr>
              <w:pStyle w:val="24"/>
              <w:snapToGrid w:val="0"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—装置原始开车准备工作范围、标准等</w:t>
            </w:r>
          </w:p>
          <w:p w14:paraId="50BA3AC2">
            <w:pPr>
              <w:pStyle w:val="24"/>
              <w:snapToGrid w:val="0"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—装置开车操作法</w:t>
            </w:r>
          </w:p>
          <w:p w14:paraId="5674D4F2">
            <w:pPr>
              <w:pStyle w:val="24"/>
              <w:snapToGrid w:val="0"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—装置停车操作法</w:t>
            </w:r>
          </w:p>
          <w:p w14:paraId="516BBD0D">
            <w:pPr>
              <w:pStyle w:val="24"/>
              <w:snapToGrid w:val="0"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—工艺参数调节方法</w:t>
            </w:r>
          </w:p>
          <w:p w14:paraId="05500E25">
            <w:pPr>
              <w:pStyle w:val="24"/>
              <w:snapToGrid w:val="0"/>
              <w:spacing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—常见故障类型及处理方法</w:t>
            </w:r>
          </w:p>
        </w:tc>
        <w:tc>
          <w:tcPr>
            <w:tcW w:w="20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123AB">
            <w:pPr>
              <w:snapToGrid w:val="0"/>
              <w:spacing w:line="240" w:lineRule="atLeast"/>
              <w:jc w:val="both"/>
              <w:rPr>
                <w:rFonts w:hint="eastAsia" w:ascii="方正仿宋_GB2312" w:hAnsi="方正仿宋_GB2312" w:eastAsia="方正仿宋_GB2312" w:cs="方正仿宋_GB2312"/>
                <w:b/>
                <w:sz w:val="24"/>
                <w:lang w:val="en-GB" w:eastAsia="en-US"/>
              </w:rPr>
            </w:pPr>
          </w:p>
        </w:tc>
      </w:tr>
      <w:tr w14:paraId="1DA3B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CC386">
            <w:pPr>
              <w:pStyle w:val="24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工作能力</w:t>
            </w:r>
          </w:p>
        </w:tc>
        <w:tc>
          <w:tcPr>
            <w:tcW w:w="4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3F667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—能用自控系统调节工艺参数</w:t>
            </w:r>
          </w:p>
          <w:p w14:paraId="5DCA6EBF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—能完成装置原始开车准备工作</w:t>
            </w:r>
          </w:p>
          <w:p w14:paraId="5DA65D63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—能完成装置原始开车</w:t>
            </w:r>
          </w:p>
          <w:p w14:paraId="2E3B3810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—能完成装置正常停车</w:t>
            </w:r>
          </w:p>
          <w:p w14:paraId="44D08D25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—能将工艺参数调节至正常指标范围，根据工艺变化调节工艺参数</w:t>
            </w:r>
          </w:p>
          <w:p w14:paraId="73586828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—能判断常见故障类型并能进行正确处理</w:t>
            </w:r>
          </w:p>
        </w:tc>
        <w:tc>
          <w:tcPr>
            <w:tcW w:w="20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4F085">
            <w:p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val="en-GB" w:eastAsia="en-US"/>
              </w:rPr>
            </w:pPr>
          </w:p>
        </w:tc>
      </w:tr>
      <w:tr w14:paraId="595AE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61EDE">
            <w:pPr>
              <w:pStyle w:val="24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2</w:t>
            </w:r>
          </w:p>
        </w:tc>
        <w:tc>
          <w:tcPr>
            <w:tcW w:w="4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A2CDEF">
            <w:pPr>
              <w:pStyle w:val="24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精馏装置实操</w:t>
            </w:r>
          </w:p>
        </w:tc>
        <w:tc>
          <w:tcPr>
            <w:tcW w:w="20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FE84E">
            <w:pPr>
              <w:pStyle w:val="24"/>
              <w:snapToGrid w:val="0"/>
              <w:spacing w:before="159" w:beforeLines="50" w:after="159" w:afterLines="50" w:line="240" w:lineRule="atLeas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lang w:val="en-US" w:eastAsia="zh-CN"/>
              </w:rPr>
            </w:pPr>
          </w:p>
          <w:p w14:paraId="0A55C35E">
            <w:pPr>
              <w:pStyle w:val="24"/>
              <w:snapToGrid w:val="0"/>
              <w:spacing w:before="159" w:beforeLines="50" w:after="159" w:afterLines="50" w:line="240" w:lineRule="atLeas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lang w:val="en-US" w:eastAsia="zh-CN"/>
              </w:rPr>
            </w:pPr>
          </w:p>
          <w:p w14:paraId="17A22487">
            <w:pPr>
              <w:pStyle w:val="24"/>
              <w:snapToGrid w:val="0"/>
              <w:spacing w:before="159" w:beforeLines="50" w:after="159" w:afterLines="50" w:line="240" w:lineRule="atLeas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lang w:val="en-US" w:eastAsia="zh-CN"/>
              </w:rPr>
            </w:pPr>
          </w:p>
          <w:p w14:paraId="441C44DE">
            <w:pPr>
              <w:pStyle w:val="24"/>
              <w:snapToGrid w:val="0"/>
              <w:spacing w:before="159" w:beforeLines="50" w:after="159" w:afterLines="50" w:line="240" w:lineRule="atLeas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lang w:val="en-US" w:eastAsia="zh-CN"/>
              </w:rPr>
            </w:pPr>
          </w:p>
          <w:p w14:paraId="29CF6037">
            <w:pPr>
              <w:pStyle w:val="24"/>
              <w:snapToGrid w:val="0"/>
              <w:spacing w:before="159" w:beforeLines="50" w:after="159" w:afterLines="50" w:line="240" w:lineRule="atLeas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lang w:val="en-US" w:eastAsia="zh-CN"/>
              </w:rPr>
            </w:pPr>
          </w:p>
          <w:p w14:paraId="58320746">
            <w:pPr>
              <w:pStyle w:val="24"/>
              <w:snapToGrid w:val="0"/>
              <w:spacing w:before="159" w:beforeLines="50" w:after="159" w:afterLines="50" w:line="240" w:lineRule="atLeas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lang w:val="en-US" w:eastAsia="zh-CN"/>
              </w:rPr>
            </w:pPr>
          </w:p>
          <w:p w14:paraId="163242B2">
            <w:pPr>
              <w:pStyle w:val="24"/>
              <w:snapToGrid w:val="0"/>
              <w:spacing w:before="159" w:beforeLines="50" w:after="159" w:afterLines="50" w:line="240" w:lineRule="atLeas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lang w:val="en-US" w:eastAsia="zh-CN"/>
              </w:rPr>
            </w:pPr>
          </w:p>
          <w:p w14:paraId="08736D13">
            <w:pPr>
              <w:pStyle w:val="24"/>
              <w:snapToGrid w:val="0"/>
              <w:spacing w:before="159" w:beforeLines="50" w:after="159" w:afterLines="50" w:line="240" w:lineRule="atLeas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lang w:val="en-US" w:eastAsia="zh-CN"/>
              </w:rPr>
            </w:pPr>
          </w:p>
          <w:p w14:paraId="4243E9AC">
            <w:pPr>
              <w:pStyle w:val="24"/>
              <w:snapToGrid w:val="0"/>
              <w:spacing w:before="159" w:beforeLines="50" w:after="159" w:afterLines="50" w:line="240" w:lineRule="atLeast"/>
              <w:jc w:val="center"/>
              <w:rPr>
                <w:rFonts w:hint="default" w:ascii="仿宋_GB2312" w:hAnsi="仿宋_GB2312" w:eastAsia="仿宋_GB2312" w:cs="仿宋_GB2312"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lang w:val="en-US" w:eastAsia="zh-CN"/>
              </w:rPr>
              <w:t>50</w:t>
            </w:r>
          </w:p>
        </w:tc>
      </w:tr>
      <w:tr w14:paraId="21828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6EF1E">
            <w:pPr>
              <w:pStyle w:val="24"/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基本知识</w:t>
            </w:r>
          </w:p>
        </w:tc>
        <w:tc>
          <w:tcPr>
            <w:tcW w:w="4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17AEDB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—冷热媒等介质引入操作知识</w:t>
            </w:r>
          </w:p>
          <w:p w14:paraId="7AC2E853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—原辅料计量知识</w:t>
            </w:r>
          </w:p>
          <w:p w14:paraId="2B16C8EC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—原辅料引入的操作知识</w:t>
            </w:r>
          </w:p>
          <w:p w14:paraId="0AE6214D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—工艺参数调节方法</w:t>
            </w:r>
          </w:p>
          <w:p w14:paraId="603F55BA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—产品质量标准</w:t>
            </w:r>
          </w:p>
          <w:p w14:paraId="7526E41C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管路拆装基础知识</w:t>
            </w:r>
          </w:p>
          <w:p w14:paraId="0A1702D8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—安全防护用品相关知识</w:t>
            </w:r>
          </w:p>
          <w:p w14:paraId="2DD38E77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—消防器材基础知识</w:t>
            </w:r>
          </w:p>
          <w:p w14:paraId="0F053D90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—工艺参数与产品质量的关系</w:t>
            </w:r>
          </w:p>
          <w:p w14:paraId="2AD494F3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—机泵等设备开车操作知识</w:t>
            </w:r>
          </w:p>
          <w:p w14:paraId="277DC2BA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—自控系统界面操作知识</w:t>
            </w:r>
          </w:p>
          <w:p w14:paraId="6326E751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—装置原始开车准备工作范围、标准等</w:t>
            </w:r>
          </w:p>
          <w:p w14:paraId="410778B7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—装置开车操作法</w:t>
            </w:r>
          </w:p>
          <w:p w14:paraId="018270E6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—装置停车操作法</w:t>
            </w:r>
          </w:p>
          <w:p w14:paraId="5F60D200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—HSE相关知识</w:t>
            </w:r>
          </w:p>
        </w:tc>
        <w:tc>
          <w:tcPr>
            <w:tcW w:w="20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1C6E8">
            <w:p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  <w:lang w:val="en-GB" w:eastAsia="en-US"/>
              </w:rPr>
            </w:pPr>
          </w:p>
        </w:tc>
      </w:tr>
      <w:tr w14:paraId="751E7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B4B46">
            <w:pPr>
              <w:pStyle w:val="24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工作能力</w:t>
            </w:r>
          </w:p>
        </w:tc>
        <w:tc>
          <w:tcPr>
            <w:tcW w:w="4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360836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—能引冷热媒等介质</w:t>
            </w:r>
          </w:p>
          <w:p w14:paraId="20646B8B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—能将工艺参数调节至正常指标范围，根据工艺变化调节工艺参数</w:t>
            </w:r>
          </w:p>
          <w:p w14:paraId="1CBAB002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—能判断中间品、产品质量异常</w:t>
            </w:r>
          </w:p>
          <w:p w14:paraId="6495C734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—能根据工艺参数变化趋势预判产品质量，并优化操作</w:t>
            </w:r>
          </w:p>
          <w:p w14:paraId="07B8ED66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—能完成装置原始开车前安全检查</w:t>
            </w:r>
          </w:p>
          <w:p w14:paraId="37354B23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—能完成装置原始开车准备工作</w:t>
            </w:r>
          </w:p>
          <w:p w14:paraId="7CD20174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—能完成管路拆装的规范操作</w:t>
            </w:r>
          </w:p>
          <w:p w14:paraId="4E0081F9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—安全防护用品规范穿戴</w:t>
            </w:r>
          </w:p>
          <w:p w14:paraId="7ADAEAE4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—消防器材规范使用</w:t>
            </w:r>
          </w:p>
          <w:p w14:paraId="797A0BF7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—能完成装置正常开停车</w:t>
            </w:r>
          </w:p>
          <w:p w14:paraId="4B155F07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—能控制并降低停车过程中的物耗、能耗</w:t>
            </w:r>
          </w:p>
          <w:p w14:paraId="58A1831C">
            <w:pPr>
              <w:pStyle w:val="23"/>
              <w:numPr>
                <w:ilvl w:val="0"/>
                <w:numId w:val="0"/>
              </w:num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—能依据HSE，完成操作过程</w:t>
            </w:r>
          </w:p>
        </w:tc>
        <w:tc>
          <w:tcPr>
            <w:tcW w:w="20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F8379">
            <w:pPr>
              <w:snapToGrid w:val="0"/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  <w:lang w:val="en-GB" w:eastAsia="en-US"/>
              </w:rPr>
            </w:pPr>
          </w:p>
        </w:tc>
      </w:tr>
      <w:tr w14:paraId="67BFC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5CEF9">
            <w:pPr>
              <w:pStyle w:val="24"/>
              <w:snapToGrid w:val="0"/>
              <w:spacing w:before="159" w:beforeLines="50" w:after="159" w:afterLines="50" w:line="240" w:lineRule="atLeas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  <w:lang w:eastAsia="zh-CN"/>
              </w:rPr>
              <w:t>合计</w:t>
            </w:r>
          </w:p>
        </w:tc>
        <w:tc>
          <w:tcPr>
            <w:tcW w:w="4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B026B">
            <w:pPr>
              <w:pStyle w:val="23"/>
              <w:numPr>
                <w:ilvl w:val="0"/>
                <w:numId w:val="0"/>
              </w:numPr>
              <w:snapToGrid w:val="0"/>
              <w:spacing w:before="159" w:beforeLines="50" w:after="159" w:afterLines="50" w:line="240" w:lineRule="atLeast"/>
              <w:ind w:left="284"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3B0E1">
            <w:pPr>
              <w:pStyle w:val="24"/>
              <w:snapToGrid w:val="0"/>
              <w:spacing w:before="159" w:beforeLines="50" w:after="159" w:afterLines="50" w:line="240" w:lineRule="atLeas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lang w:eastAsia="zh-CN"/>
              </w:rPr>
              <w:t>100</w:t>
            </w:r>
          </w:p>
        </w:tc>
      </w:tr>
    </w:tbl>
    <w:p w14:paraId="263FA4C4">
      <w:pPr>
        <w:spacing w:line="560" w:lineRule="exact"/>
        <w:ind w:firstLine="640" w:firstLineChars="200"/>
        <w:jc w:val="both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二、试题与评判标准</w:t>
      </w:r>
    </w:p>
    <w:p w14:paraId="2F63406F">
      <w:pPr>
        <w:spacing w:line="560" w:lineRule="exact"/>
        <w:ind w:firstLine="640" w:firstLineChars="200"/>
        <w:jc w:val="both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（一）试题（样题）</w:t>
      </w:r>
    </w:p>
    <w:p w14:paraId="5048F9F4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选手在规定时间内需完成以下两个模块的工作：DCS仿真操作、精馏装置实操。各模块具体任务如下：</w:t>
      </w:r>
    </w:p>
    <w:p w14:paraId="569B918E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模块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1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DCS仿真操作</w:t>
      </w:r>
      <w:r>
        <w:rPr>
          <w:rFonts w:hint="eastAsia" w:ascii="仿宋_GB2312" w:hAnsi="仿宋_GB2312" w:eastAsia="仿宋_GB2312" w:cs="仿宋_GB2312"/>
          <w:sz w:val="32"/>
          <w:szCs w:val="32"/>
        </w:rPr>
        <w:t>：参赛选手需要在DCS软件上进行冷态开车、稳态生产、正常停车及事故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处理</w:t>
      </w:r>
      <w:r>
        <w:rPr>
          <w:rFonts w:hint="eastAsia" w:ascii="仿宋_GB2312" w:hAnsi="仿宋_GB2312" w:eastAsia="仿宋_GB2312" w:cs="仿宋_GB2312"/>
          <w:sz w:val="32"/>
          <w:szCs w:val="32"/>
        </w:rPr>
        <w:t>操作。</w:t>
      </w:r>
    </w:p>
    <w:p w14:paraId="12ACCC1D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模块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精馏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装置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实操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：要求选手根据规定的操作要求进行开车前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安全检查，开车前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准备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、流量计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装、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开车操作、生产运行、停车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操作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并按要求得到高纯度乙醇产品。</w:t>
      </w:r>
    </w:p>
    <w:p w14:paraId="37F1483E">
      <w:pPr>
        <w:spacing w:line="560" w:lineRule="exact"/>
        <w:ind w:firstLine="640" w:firstLineChars="200"/>
        <w:jc w:val="both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（二）比赛时间及试题具体内容</w:t>
      </w:r>
    </w:p>
    <w:p w14:paraId="4AD36EF8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1.比赛时间安排</w:t>
      </w:r>
    </w:p>
    <w:tbl>
      <w:tblPr>
        <w:tblStyle w:val="27"/>
        <w:tblW w:w="5001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81"/>
        <w:gridCol w:w="3839"/>
        <w:gridCol w:w="1758"/>
        <w:gridCol w:w="1448"/>
      </w:tblGrid>
      <w:tr w14:paraId="1217D7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916" w:type="pct"/>
            <w:vAlign w:val="top"/>
          </w:tcPr>
          <w:p w14:paraId="3C739D0C">
            <w:pPr>
              <w:spacing w:before="108" w:line="220" w:lineRule="auto"/>
              <w:ind w:left="211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sz w:val="32"/>
                <w:szCs w:val="32"/>
              </w:rPr>
              <w:t>考核模块</w:t>
            </w:r>
          </w:p>
        </w:tc>
        <w:tc>
          <w:tcPr>
            <w:tcW w:w="2224" w:type="pct"/>
            <w:vAlign w:val="top"/>
          </w:tcPr>
          <w:p w14:paraId="0EB8544B">
            <w:pPr>
              <w:spacing w:before="108" w:line="220" w:lineRule="auto"/>
              <w:ind w:left="1616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5"/>
                <w:sz w:val="32"/>
                <w:szCs w:val="32"/>
              </w:rPr>
              <w:t>内容</w:t>
            </w:r>
          </w:p>
        </w:tc>
        <w:tc>
          <w:tcPr>
            <w:tcW w:w="1019" w:type="pct"/>
            <w:vAlign w:val="top"/>
          </w:tcPr>
          <w:p w14:paraId="5A4CE4AF">
            <w:pPr>
              <w:spacing w:before="108" w:line="221" w:lineRule="auto"/>
              <w:ind w:left="311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9"/>
                <w:sz w:val="32"/>
                <w:szCs w:val="32"/>
              </w:rPr>
              <w:t>时间分配</w:t>
            </w:r>
          </w:p>
        </w:tc>
        <w:tc>
          <w:tcPr>
            <w:tcW w:w="839" w:type="pct"/>
            <w:vAlign w:val="top"/>
          </w:tcPr>
          <w:p w14:paraId="0306FC45">
            <w:pPr>
              <w:spacing w:before="108" w:line="220" w:lineRule="auto"/>
              <w:ind w:left="426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7"/>
                <w:sz w:val="32"/>
                <w:szCs w:val="32"/>
              </w:rPr>
              <w:t>权重</w:t>
            </w:r>
          </w:p>
        </w:tc>
      </w:tr>
      <w:tr w14:paraId="709600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916" w:type="pct"/>
            <w:vAlign w:val="top"/>
          </w:tcPr>
          <w:p w14:paraId="785DC34D">
            <w:pPr>
              <w:pStyle w:val="28"/>
              <w:widowControl/>
              <w:kinsoku w:val="0"/>
              <w:autoSpaceDE w:val="0"/>
              <w:autoSpaceDN w:val="0"/>
              <w:adjustRightInd w:val="0"/>
              <w:snapToGrid w:val="0"/>
              <w:spacing w:before="107" w:line="215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  <w:t>模块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224" w:type="pct"/>
            <w:vAlign w:val="top"/>
          </w:tcPr>
          <w:p w14:paraId="23F9B7FF">
            <w:pPr>
              <w:pStyle w:val="28"/>
              <w:widowControl/>
              <w:kinsoku w:val="0"/>
              <w:autoSpaceDE w:val="0"/>
              <w:autoSpaceDN w:val="0"/>
              <w:adjustRightInd w:val="0"/>
              <w:snapToGrid w:val="0"/>
              <w:spacing w:before="107" w:line="215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  <w:t>DCS仿真操作</w:t>
            </w:r>
          </w:p>
        </w:tc>
        <w:tc>
          <w:tcPr>
            <w:tcW w:w="1019" w:type="pct"/>
            <w:vAlign w:val="top"/>
          </w:tcPr>
          <w:p w14:paraId="31B09340">
            <w:pPr>
              <w:pStyle w:val="28"/>
              <w:widowControl/>
              <w:kinsoku w:val="0"/>
              <w:autoSpaceDE w:val="0"/>
              <w:autoSpaceDN w:val="0"/>
              <w:adjustRightInd w:val="0"/>
              <w:snapToGrid w:val="0"/>
              <w:spacing w:before="107" w:line="215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  <w:t>1.5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  <w:t>小时</w:t>
            </w:r>
          </w:p>
        </w:tc>
        <w:tc>
          <w:tcPr>
            <w:tcW w:w="839" w:type="pct"/>
            <w:vAlign w:val="top"/>
          </w:tcPr>
          <w:p w14:paraId="0B617B21">
            <w:pPr>
              <w:pStyle w:val="28"/>
              <w:widowControl/>
              <w:kinsoku w:val="0"/>
              <w:autoSpaceDE w:val="0"/>
              <w:autoSpaceDN w:val="0"/>
              <w:adjustRightInd w:val="0"/>
              <w:snapToGrid w:val="0"/>
              <w:spacing w:before="107" w:line="215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  <w:t>50%</w:t>
            </w:r>
          </w:p>
        </w:tc>
      </w:tr>
      <w:tr w14:paraId="2A897D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916" w:type="pct"/>
            <w:vAlign w:val="top"/>
          </w:tcPr>
          <w:p w14:paraId="37649214">
            <w:pPr>
              <w:pStyle w:val="28"/>
              <w:widowControl/>
              <w:kinsoku w:val="0"/>
              <w:autoSpaceDE w:val="0"/>
              <w:autoSpaceDN w:val="0"/>
              <w:adjustRightInd w:val="0"/>
              <w:snapToGrid w:val="0"/>
              <w:spacing w:before="107" w:line="215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  <w:t>模块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224" w:type="pct"/>
            <w:vAlign w:val="top"/>
          </w:tcPr>
          <w:p w14:paraId="71858E0D">
            <w:pPr>
              <w:pStyle w:val="28"/>
              <w:widowControl/>
              <w:kinsoku w:val="0"/>
              <w:autoSpaceDE w:val="0"/>
              <w:autoSpaceDN w:val="0"/>
              <w:adjustRightInd w:val="0"/>
              <w:snapToGrid w:val="0"/>
              <w:spacing w:before="107" w:line="215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  <w:t>精馏实操</w:t>
            </w:r>
          </w:p>
        </w:tc>
        <w:tc>
          <w:tcPr>
            <w:tcW w:w="1019" w:type="pct"/>
            <w:vAlign w:val="top"/>
          </w:tcPr>
          <w:p w14:paraId="00E7A1FF">
            <w:pPr>
              <w:pStyle w:val="28"/>
              <w:widowControl/>
              <w:kinsoku w:val="0"/>
              <w:autoSpaceDE w:val="0"/>
              <w:autoSpaceDN w:val="0"/>
              <w:adjustRightInd w:val="0"/>
              <w:snapToGrid w:val="0"/>
              <w:spacing w:before="107" w:line="215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  <w:t>1.5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  <w:t>小时</w:t>
            </w:r>
          </w:p>
        </w:tc>
        <w:tc>
          <w:tcPr>
            <w:tcW w:w="839" w:type="pct"/>
            <w:vAlign w:val="top"/>
          </w:tcPr>
          <w:p w14:paraId="65A01666">
            <w:pPr>
              <w:pStyle w:val="28"/>
              <w:widowControl/>
              <w:kinsoku w:val="0"/>
              <w:autoSpaceDE w:val="0"/>
              <w:autoSpaceDN w:val="0"/>
              <w:adjustRightInd w:val="0"/>
              <w:snapToGrid w:val="0"/>
              <w:spacing w:before="107" w:line="215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  <w:t>50%</w:t>
            </w:r>
          </w:p>
        </w:tc>
      </w:tr>
      <w:tr w14:paraId="5A7E78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3141" w:type="pct"/>
            <w:gridSpan w:val="2"/>
            <w:vAlign w:val="top"/>
          </w:tcPr>
          <w:p w14:paraId="510E464F">
            <w:pPr>
              <w:pStyle w:val="28"/>
              <w:spacing w:before="111" w:line="214" w:lineRule="auto"/>
              <w:ind w:left="1971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32"/>
                <w:szCs w:val="32"/>
              </w:rPr>
              <w:t>比赛总用时</w:t>
            </w:r>
          </w:p>
        </w:tc>
        <w:tc>
          <w:tcPr>
            <w:tcW w:w="1019" w:type="pct"/>
            <w:vAlign w:val="top"/>
          </w:tcPr>
          <w:p w14:paraId="20982BA0">
            <w:pPr>
              <w:pStyle w:val="28"/>
              <w:spacing w:before="110" w:line="21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pacing w:val="-11"/>
                <w:sz w:val="32"/>
                <w:szCs w:val="32"/>
              </w:rPr>
              <w:t>小时</w:t>
            </w:r>
          </w:p>
        </w:tc>
        <w:tc>
          <w:tcPr>
            <w:tcW w:w="839" w:type="pct"/>
            <w:vAlign w:val="top"/>
          </w:tcPr>
          <w:p w14:paraId="74F8A382">
            <w:pPr>
              <w:pStyle w:val="28"/>
              <w:widowControl/>
              <w:kinsoku w:val="0"/>
              <w:autoSpaceDE w:val="0"/>
              <w:autoSpaceDN w:val="0"/>
              <w:adjustRightInd w:val="0"/>
              <w:snapToGrid w:val="0"/>
              <w:spacing w:before="107" w:line="215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  <w:t>100%</w:t>
            </w:r>
          </w:p>
        </w:tc>
      </w:tr>
    </w:tbl>
    <w:p w14:paraId="200A6ACF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2.试题：具体试题内容</w:t>
      </w:r>
    </w:p>
    <w:p w14:paraId="4EFC4C20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模块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1 </w:t>
      </w:r>
      <w:r>
        <w:rPr>
          <w:rFonts w:hint="eastAsia" w:ascii="仿宋_GB2312" w:hAnsi="仿宋_GB2312" w:eastAsia="仿宋_GB2312" w:cs="仿宋_GB2312"/>
          <w:sz w:val="32"/>
          <w:szCs w:val="32"/>
        </w:rPr>
        <w:t>DCS仿真操作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包括间歇反应釜工艺3D仿真、吸收解吸工艺3D仿真、二氧化碳压缩机工艺3D仿真、管式加热炉工艺3D仿真、精馏工艺3D仿真、固定床3D仿真共6项单元操作。竞赛方案由3个开车、1个停车、4个故障处理和1个稳态生产组成。</w:t>
      </w:r>
    </w:p>
    <w:p w14:paraId="66F6817C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该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GB" w:eastAsia="en-US" w:bidi="ar-SA"/>
        </w:rPr>
        <w:t>模块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要求选手在规定时间内完成冷态开车、稳态生产、故障处理和正常停车等四种工况，稳定生产操作的时间限定为15分钟，期间分别随机触发8个扰动，要求选手在规定时间进行处理和恢复正常运行，无论选手处理正确与否，扰动定时消失，电脑随即记录成绩。</w:t>
      </w:r>
    </w:p>
    <w:p w14:paraId="39B38FE4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模块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精馏实操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采用常压连续精馏装置，以乙醇－水溶液为工作介质，要求选手根据规定的操作要求开车操作、生产运行、停车等操作,并按实际工业生产要求考核其所得产品产量、质量、原料消耗、规范操作及安全与文明生产状况。</w:t>
      </w:r>
    </w:p>
    <w:p w14:paraId="7F59B4E2">
      <w:pPr>
        <w:spacing w:line="560" w:lineRule="exact"/>
        <w:ind w:firstLine="640" w:firstLineChars="200"/>
        <w:jc w:val="both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（三）评判标准</w:t>
      </w:r>
    </w:p>
    <w:p w14:paraId="5E375B71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1.分数权重：</w:t>
      </w:r>
    </w:p>
    <w:tbl>
      <w:tblPr>
        <w:tblStyle w:val="11"/>
        <w:tblW w:w="4997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4"/>
        <w:gridCol w:w="2263"/>
        <w:gridCol w:w="2544"/>
        <w:gridCol w:w="1578"/>
      </w:tblGrid>
      <w:tr w14:paraId="5E24E7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84" w:type="pct"/>
            <w:noWrap w:val="0"/>
            <w:vAlign w:val="center"/>
          </w:tcPr>
          <w:p w14:paraId="033AFDA2">
            <w:pPr>
              <w:pStyle w:val="28"/>
              <w:widowControl/>
              <w:kinsoku w:val="0"/>
              <w:autoSpaceDE w:val="0"/>
              <w:autoSpaceDN w:val="0"/>
              <w:adjustRightInd w:val="0"/>
              <w:snapToGrid w:val="0"/>
              <w:spacing w:before="107" w:line="215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spacing w:val="-3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spacing w:val="-3"/>
                <w:kern w:val="0"/>
                <w:sz w:val="32"/>
                <w:szCs w:val="32"/>
              </w:rPr>
              <w:t>模块</w:t>
            </w:r>
          </w:p>
        </w:tc>
        <w:tc>
          <w:tcPr>
            <w:tcW w:w="1281" w:type="pct"/>
            <w:noWrap w:val="0"/>
            <w:vAlign w:val="center"/>
          </w:tcPr>
          <w:p w14:paraId="4E507547">
            <w:pPr>
              <w:pStyle w:val="28"/>
              <w:widowControl/>
              <w:kinsoku w:val="0"/>
              <w:autoSpaceDE w:val="0"/>
              <w:autoSpaceDN w:val="0"/>
              <w:adjustRightInd w:val="0"/>
              <w:snapToGrid w:val="0"/>
              <w:spacing w:before="107" w:line="215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  <w:t>评价</w:t>
            </w:r>
          </w:p>
        </w:tc>
        <w:tc>
          <w:tcPr>
            <w:tcW w:w="1440" w:type="pct"/>
            <w:noWrap w:val="0"/>
            <w:vAlign w:val="center"/>
          </w:tcPr>
          <w:p w14:paraId="02D33F60">
            <w:pPr>
              <w:pStyle w:val="28"/>
              <w:widowControl/>
              <w:kinsoku w:val="0"/>
              <w:autoSpaceDE w:val="0"/>
              <w:autoSpaceDN w:val="0"/>
              <w:adjustRightInd w:val="0"/>
              <w:snapToGrid w:val="0"/>
              <w:spacing w:before="107" w:line="215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  <w:t>测量</w:t>
            </w:r>
          </w:p>
        </w:tc>
        <w:tc>
          <w:tcPr>
            <w:tcW w:w="893" w:type="pct"/>
            <w:noWrap w:val="0"/>
            <w:vAlign w:val="center"/>
          </w:tcPr>
          <w:p w14:paraId="79D23B73">
            <w:pPr>
              <w:pStyle w:val="28"/>
              <w:widowControl/>
              <w:kinsoku w:val="0"/>
              <w:autoSpaceDE w:val="0"/>
              <w:autoSpaceDN w:val="0"/>
              <w:adjustRightInd w:val="0"/>
              <w:snapToGrid w:val="0"/>
              <w:spacing w:before="107" w:line="215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  <w:t>总计（%）</w:t>
            </w:r>
          </w:p>
        </w:tc>
      </w:tr>
      <w:tr w14:paraId="3B3E12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384" w:type="pct"/>
            <w:noWrap w:val="0"/>
            <w:vAlign w:val="center"/>
          </w:tcPr>
          <w:p w14:paraId="7E5DE838">
            <w:pPr>
              <w:pStyle w:val="28"/>
              <w:widowControl/>
              <w:kinsoku w:val="0"/>
              <w:autoSpaceDE w:val="0"/>
              <w:autoSpaceDN w:val="0"/>
              <w:adjustRightInd w:val="0"/>
              <w:snapToGrid w:val="0"/>
              <w:spacing w:before="107" w:line="215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  <w:t>DCS仿真操作</w:t>
            </w:r>
          </w:p>
        </w:tc>
        <w:tc>
          <w:tcPr>
            <w:tcW w:w="1281" w:type="pct"/>
            <w:noWrap w:val="0"/>
            <w:vAlign w:val="center"/>
          </w:tcPr>
          <w:p w14:paraId="319F00A2">
            <w:pPr>
              <w:pStyle w:val="28"/>
              <w:widowControl/>
              <w:kinsoku w:val="0"/>
              <w:autoSpaceDE w:val="0"/>
              <w:autoSpaceDN w:val="0"/>
              <w:adjustRightInd w:val="0"/>
              <w:snapToGrid w:val="0"/>
              <w:spacing w:before="107" w:line="215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440" w:type="pct"/>
            <w:noWrap w:val="0"/>
            <w:vAlign w:val="center"/>
          </w:tcPr>
          <w:p w14:paraId="53A0970E">
            <w:pPr>
              <w:pStyle w:val="28"/>
              <w:widowControl/>
              <w:kinsoku w:val="0"/>
              <w:autoSpaceDE w:val="0"/>
              <w:autoSpaceDN w:val="0"/>
              <w:adjustRightInd w:val="0"/>
              <w:snapToGrid w:val="0"/>
              <w:spacing w:before="107" w:line="215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  <w:t>50</w:t>
            </w:r>
          </w:p>
        </w:tc>
        <w:tc>
          <w:tcPr>
            <w:tcW w:w="893" w:type="pct"/>
            <w:noWrap w:val="0"/>
            <w:vAlign w:val="center"/>
          </w:tcPr>
          <w:p w14:paraId="510633DE">
            <w:pPr>
              <w:pStyle w:val="28"/>
              <w:widowControl/>
              <w:kinsoku w:val="0"/>
              <w:autoSpaceDE w:val="0"/>
              <w:autoSpaceDN w:val="0"/>
              <w:adjustRightInd w:val="0"/>
              <w:snapToGrid w:val="0"/>
              <w:spacing w:before="107" w:line="215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  <w:t>50</w:t>
            </w:r>
          </w:p>
        </w:tc>
      </w:tr>
      <w:tr w14:paraId="60DA4C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384" w:type="pct"/>
            <w:noWrap w:val="0"/>
            <w:vAlign w:val="center"/>
          </w:tcPr>
          <w:p w14:paraId="798195B7">
            <w:pPr>
              <w:pStyle w:val="28"/>
              <w:widowControl/>
              <w:kinsoku w:val="0"/>
              <w:autoSpaceDE w:val="0"/>
              <w:autoSpaceDN w:val="0"/>
              <w:adjustRightInd w:val="0"/>
              <w:snapToGrid w:val="0"/>
              <w:spacing w:before="107" w:line="215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  <w:t>精馏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  <w:t>装置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  <w:t>实操</w:t>
            </w:r>
          </w:p>
        </w:tc>
        <w:tc>
          <w:tcPr>
            <w:tcW w:w="1281" w:type="pct"/>
            <w:noWrap w:val="0"/>
            <w:vAlign w:val="center"/>
          </w:tcPr>
          <w:p w14:paraId="6EF8369A">
            <w:pPr>
              <w:pStyle w:val="28"/>
              <w:widowControl/>
              <w:kinsoku w:val="0"/>
              <w:autoSpaceDE w:val="0"/>
              <w:autoSpaceDN w:val="0"/>
              <w:adjustRightInd w:val="0"/>
              <w:snapToGrid w:val="0"/>
              <w:spacing w:before="107" w:line="215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1440" w:type="pct"/>
            <w:noWrap w:val="0"/>
            <w:vAlign w:val="center"/>
          </w:tcPr>
          <w:p w14:paraId="6FC97EDE">
            <w:pPr>
              <w:pStyle w:val="28"/>
              <w:widowControl/>
              <w:kinsoku w:val="0"/>
              <w:autoSpaceDE w:val="0"/>
              <w:autoSpaceDN w:val="0"/>
              <w:adjustRightInd w:val="0"/>
              <w:snapToGrid w:val="0"/>
              <w:spacing w:before="107" w:line="215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  <w:t>35</w:t>
            </w:r>
          </w:p>
        </w:tc>
        <w:tc>
          <w:tcPr>
            <w:tcW w:w="893" w:type="pct"/>
            <w:noWrap w:val="0"/>
            <w:vAlign w:val="center"/>
          </w:tcPr>
          <w:p w14:paraId="48890163">
            <w:pPr>
              <w:pStyle w:val="28"/>
              <w:widowControl/>
              <w:kinsoku w:val="0"/>
              <w:autoSpaceDE w:val="0"/>
              <w:autoSpaceDN w:val="0"/>
              <w:adjustRightInd w:val="0"/>
              <w:snapToGrid w:val="0"/>
              <w:spacing w:before="107" w:line="215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  <w:t>50</w:t>
            </w:r>
          </w:p>
        </w:tc>
      </w:tr>
      <w:tr w14:paraId="041B20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1384" w:type="pct"/>
            <w:noWrap w:val="0"/>
            <w:vAlign w:val="center"/>
          </w:tcPr>
          <w:p w14:paraId="2500D47F">
            <w:pPr>
              <w:pStyle w:val="28"/>
              <w:widowControl/>
              <w:kinsoku w:val="0"/>
              <w:autoSpaceDE w:val="0"/>
              <w:autoSpaceDN w:val="0"/>
              <w:adjustRightInd w:val="0"/>
              <w:snapToGrid w:val="0"/>
              <w:spacing w:before="107" w:line="215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  <w:t>总分</w:t>
            </w:r>
          </w:p>
        </w:tc>
        <w:tc>
          <w:tcPr>
            <w:tcW w:w="1281" w:type="pct"/>
            <w:noWrap w:val="0"/>
            <w:vAlign w:val="center"/>
          </w:tcPr>
          <w:p w14:paraId="4D8EB281">
            <w:pPr>
              <w:pStyle w:val="28"/>
              <w:widowControl/>
              <w:kinsoku w:val="0"/>
              <w:autoSpaceDE w:val="0"/>
              <w:autoSpaceDN w:val="0"/>
              <w:adjustRightInd w:val="0"/>
              <w:snapToGrid w:val="0"/>
              <w:spacing w:before="107" w:line="215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1440" w:type="pct"/>
            <w:noWrap w:val="0"/>
            <w:vAlign w:val="center"/>
          </w:tcPr>
          <w:p w14:paraId="79E185B1">
            <w:pPr>
              <w:pStyle w:val="28"/>
              <w:widowControl/>
              <w:kinsoku w:val="0"/>
              <w:autoSpaceDE w:val="0"/>
              <w:autoSpaceDN w:val="0"/>
              <w:adjustRightInd w:val="0"/>
              <w:snapToGrid w:val="0"/>
              <w:spacing w:before="107" w:line="215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  <w:t>85</w:t>
            </w:r>
          </w:p>
        </w:tc>
        <w:tc>
          <w:tcPr>
            <w:tcW w:w="893" w:type="pct"/>
            <w:noWrap w:val="0"/>
            <w:vAlign w:val="center"/>
          </w:tcPr>
          <w:p w14:paraId="2C2BD71D">
            <w:pPr>
              <w:pStyle w:val="28"/>
              <w:widowControl/>
              <w:kinsoku w:val="0"/>
              <w:autoSpaceDE w:val="0"/>
              <w:autoSpaceDN w:val="0"/>
              <w:adjustRightInd w:val="0"/>
              <w:snapToGrid w:val="0"/>
              <w:spacing w:before="107" w:line="215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  <w:t>100</w:t>
            </w:r>
          </w:p>
        </w:tc>
      </w:tr>
    </w:tbl>
    <w:p w14:paraId="672DE5AB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2.评分规范</w:t>
      </w:r>
    </w:p>
    <w:p w14:paraId="3747E304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模块1：DCS仿真操作</w:t>
      </w:r>
    </w:p>
    <w:p w14:paraId="1332CCC7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评分依据：此阶段评分均为软件自动评分。</w:t>
      </w:r>
    </w:p>
    <w:p w14:paraId="2F9261B1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模块2：精馏实操</w:t>
      </w:r>
    </w:p>
    <w:p w14:paraId="5A74AA52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此阶段评分包括：精馏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操作技术指标（70%），其得分由电脑根据工艺指标的合理性、装置稳定时间、产品产量、产品质量、原材料消耗等内容自动评分。规范操作和文明操作（30%）。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本评分需要裁判组依据《规范操作评分表》和《文明操作评分表》逐项打分，包括操作规范性、安全防护、团队协作、工位整洁度等。规范操作和文明操作得分由裁判打分。</w:t>
      </w:r>
    </w:p>
    <w:p w14:paraId="05884686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.成绩并列：比赛结束后，若遇到选手总分出现相同分时，则按模块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的成绩高低进行排序。</w:t>
      </w:r>
    </w:p>
    <w:p w14:paraId="160C44B0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三、竞赛细则</w:t>
      </w:r>
    </w:p>
    <w:p w14:paraId="10608A65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根据本项目特点和工作要求，提出对选手、裁判人员及相关技术赛务支持人员的比赛纪律、道德要求等。</w:t>
      </w:r>
    </w:p>
    <w:p w14:paraId="295CEAFE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（一）竞赛流程</w:t>
      </w:r>
    </w:p>
    <w:p w14:paraId="63342762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1.日程安排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tbl>
      <w:tblPr>
        <w:tblStyle w:val="27"/>
        <w:tblW w:w="4002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69"/>
        <w:gridCol w:w="4534"/>
      </w:tblGrid>
      <w:tr w14:paraId="4BFC99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1716" w:type="pct"/>
            <w:vAlign w:val="center"/>
          </w:tcPr>
          <w:p w14:paraId="11646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-1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3"/>
                <w:sz w:val="32"/>
                <w:szCs w:val="32"/>
              </w:rPr>
              <w:t>时间</w:t>
            </w:r>
          </w:p>
        </w:tc>
        <w:tc>
          <w:tcPr>
            <w:tcW w:w="3283" w:type="pct"/>
            <w:vAlign w:val="center"/>
          </w:tcPr>
          <w:p w14:paraId="1060C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sz w:val="32"/>
                <w:szCs w:val="32"/>
                <w:lang w:val="en-US" w:eastAsia="zh-CN"/>
              </w:rPr>
              <w:t>比赛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sz w:val="32"/>
                <w:szCs w:val="32"/>
              </w:rPr>
              <w:t>内容</w:t>
            </w:r>
          </w:p>
        </w:tc>
      </w:tr>
      <w:tr w14:paraId="72B90C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1716" w:type="pct"/>
            <w:vAlign w:val="center"/>
          </w:tcPr>
          <w:p w14:paraId="2B05FB08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  <w:t>: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  <w:t>0-1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  <w:t>:00</w:t>
            </w:r>
          </w:p>
        </w:tc>
        <w:tc>
          <w:tcPr>
            <w:tcW w:w="3283" w:type="pct"/>
            <w:vAlign w:val="center"/>
          </w:tcPr>
          <w:p w14:paraId="32D00B6B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  <w:t>模块1竞赛</w:t>
            </w:r>
          </w:p>
        </w:tc>
      </w:tr>
      <w:tr w14:paraId="7BCDBD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1716" w:type="pct"/>
            <w:vAlign w:val="center"/>
          </w:tcPr>
          <w:p w14:paraId="41BCA466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  <w:t>: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  <w:t>0-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  <w:t>: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  <w:t>0</w:t>
            </w:r>
          </w:p>
        </w:tc>
        <w:tc>
          <w:tcPr>
            <w:tcW w:w="3283" w:type="pct"/>
            <w:vAlign w:val="center"/>
          </w:tcPr>
          <w:p w14:paraId="459BB268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  <w:t>模块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  <w:t>竞赛</w:t>
            </w:r>
          </w:p>
        </w:tc>
      </w:tr>
      <w:tr w14:paraId="61296D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3" w:hRule="atLeast"/>
          <w:jc w:val="center"/>
        </w:trPr>
        <w:tc>
          <w:tcPr>
            <w:tcW w:w="1716" w:type="pct"/>
            <w:shd w:val="clear" w:color="auto" w:fill="auto"/>
            <w:vAlign w:val="center"/>
          </w:tcPr>
          <w:p w14:paraId="7BD2CBEB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  <w:t>11:50-12:30</w:t>
            </w:r>
          </w:p>
        </w:tc>
        <w:tc>
          <w:tcPr>
            <w:tcW w:w="3283" w:type="pct"/>
            <w:shd w:val="clear" w:color="auto" w:fill="auto"/>
            <w:vAlign w:val="center"/>
          </w:tcPr>
          <w:p w14:paraId="6AFAEC1A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  <w:t>所有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  <w:lang w:val="en-US" w:eastAsia="zh-CN"/>
              </w:rPr>
              <w:t>模块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"/>
                <w:kern w:val="0"/>
                <w:sz w:val="32"/>
                <w:szCs w:val="32"/>
              </w:rPr>
              <w:t>成绩汇总、签名确认及保存</w:t>
            </w:r>
          </w:p>
        </w:tc>
      </w:tr>
    </w:tbl>
    <w:p w14:paraId="781FA054">
      <w:pPr>
        <w:spacing w:line="560" w:lineRule="exact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1"/>
          <w:szCs w:val="31"/>
          <w:lang w:eastAsia="en-US"/>
        </w:rPr>
      </w:pPr>
      <w:r>
        <w:rPr>
          <w:rFonts w:hint="eastAsia" w:ascii="楷体" w:hAnsi="楷体" w:eastAsia="楷体" w:cs="楷体"/>
          <w:sz w:val="32"/>
          <w:szCs w:val="32"/>
          <w:lang w:eastAsia="en-US"/>
        </w:rPr>
        <w:t>（二）裁判员须知</w:t>
      </w:r>
    </w:p>
    <w:p w14:paraId="60F5ADA2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1.裁判员应具备以下基本条件：</w:t>
      </w:r>
    </w:p>
    <w:p w14:paraId="7BDF9141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坚持习近平新时代中国特色社会主义思想，具有坚定的理想信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坚定“四个自信”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做到“两个维护”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；积极践行社会主义核心价值观，遵纪守法、品德高尚；具有良好的心理、身体素质，身体健康，原则上年龄不超过60岁。</w:t>
      </w:r>
    </w:p>
    <w:p w14:paraId="22278E89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热爱本职工作，责任心强，服从组织安排，自愿承担本</w:t>
      </w:r>
      <w:bookmarkStart w:id="1" w:name="bookmark28"/>
      <w:bookmarkEnd w:id="1"/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次大赛执裁工作，时间上有保证。严守竞赛纪律，自觉坚持公平、公正原则，秉公执裁，不徇私情。具备较强的团队合作精神。</w:t>
      </w:r>
    </w:p>
    <w:p w14:paraId="2FE45BC2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具备良好的本专业理论知识、实操技能和工作经验。同等条件下，中华技能大奖获得者和全国技术能手优先考虑。</w:t>
      </w:r>
    </w:p>
    <w:p w14:paraId="724D53F4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了解掌握职业技能竞赛政策、工作规则和裁判方法，能准确、熟练运用。曾参与过本项目国家级或行业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省级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职业技能竞赛执裁工作，且无重大失误。</w:t>
      </w:r>
    </w:p>
    <w:p w14:paraId="74C6B17F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2.裁判员职责</w:t>
      </w:r>
    </w:p>
    <w:p w14:paraId="28181D60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参加赛前培训和技术讨论，熟练掌握竞赛技术规则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对有争议的问题提出客观、公正、合理的意见和建议；服从裁判长工作安排，认真做好本职工作；公平公正执裁，不徇私舞弊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坚守岗位，严格遵守执裁时间安排，保证执裁工作正常进行。</w:t>
      </w:r>
    </w:p>
    <w:p w14:paraId="035ED0BD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bookmarkStart w:id="2" w:name="bookmark11"/>
      <w:bookmarkEnd w:id="2"/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（三）参赛选手须知</w:t>
      </w:r>
    </w:p>
    <w:p w14:paraId="4E63B1A8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1.选手竞赛时须遵守《专业规范》，按工种要求着装。</w:t>
      </w:r>
    </w:p>
    <w:p w14:paraId="4F984992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2.选手在熟悉设备前通过抽签决定竞赛顺序和比赛工位；自带设备的比赛项目，赛前需保证选手有不少于半小时在各自工位内进行熟悉设备，检查自己所带工具、玻璃仪器，调试自带设备或清洗玻璃仪器。</w:t>
      </w:r>
    </w:p>
    <w:p w14:paraId="10CAAFD0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3.选手须在比赛期间根据比赛任务要求完成任务。</w:t>
      </w:r>
    </w:p>
    <w:p w14:paraId="44C90924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4.比赛日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选手比赛用电脑、工具以及赛场提供的物品、资料一律不准带离比赛工位。</w:t>
      </w:r>
    </w:p>
    <w:p w14:paraId="7CC80E25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5.选手禁止将移动电话带入比赛工位，禁止比赛时使用手机、照相机、录像机等设备，禁止携带和使用自带的任何存储设备。</w:t>
      </w:r>
    </w:p>
    <w:p w14:paraId="51A42131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6.未正式开始比赛前，禁止做与比赛内容有关的工作。</w:t>
      </w:r>
    </w:p>
    <w:p w14:paraId="30B2A104">
      <w:pPr>
        <w:spacing w:line="560" w:lineRule="exact"/>
        <w:ind w:firstLine="640" w:firstLineChars="200"/>
        <w:jc w:val="both"/>
        <w:rPr>
          <w:rFonts w:hint="eastAsia" w:ascii="楷体" w:hAnsi="楷体" w:eastAsia="楷体" w:cs="楷体"/>
          <w:sz w:val="32"/>
          <w:szCs w:val="32"/>
          <w:lang w:eastAsia="en-US"/>
        </w:rPr>
      </w:pPr>
      <w:bookmarkStart w:id="3" w:name="bookmark12"/>
      <w:bookmarkEnd w:id="3"/>
      <w:bookmarkStart w:id="4" w:name="bookmark29"/>
      <w:bookmarkEnd w:id="4"/>
      <w:r>
        <w:rPr>
          <w:rFonts w:hint="eastAsia" w:ascii="楷体" w:hAnsi="楷体" w:eastAsia="楷体" w:cs="楷体"/>
          <w:sz w:val="32"/>
          <w:szCs w:val="32"/>
          <w:lang w:eastAsia="en-US"/>
        </w:rPr>
        <w:t>（四）工作人员须知</w:t>
      </w:r>
    </w:p>
    <w:p w14:paraId="4A86C16B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1.比赛期间，竞赛区域按以下权限进入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76EA4786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（1）选手及当值裁判员在规定时间内可进入选手操作区，当值裁判员应在指定岗位执裁。裁判长可进入全部竞赛区域。裁判长助理根据裁判长安排进入相应区域。其他裁判人员在没有具体工作任务时，可在裁判休息区休息。选手在赛间休息时，可在选手休息区休息。</w:t>
      </w:r>
    </w:p>
    <w:p w14:paraId="5288838B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（2）场地经理及助理以及相关赛务保障人员应在非操作区待命，并按裁判长要求第一时间进入操作区处理问题。</w:t>
      </w:r>
    </w:p>
    <w:p w14:paraId="1E5DEC52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（3）观察员可以按裁判长要求进入本项目竞赛区域的非操作区。</w:t>
      </w:r>
    </w:p>
    <w:p w14:paraId="298040A0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2.除相关工作人员外其他人员一律不得进入竞赛区域。</w:t>
      </w:r>
    </w:p>
    <w:p w14:paraId="4B1D92F5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3.现场保持安静，不得大声交谈及喧哗。</w:t>
      </w:r>
    </w:p>
    <w:p w14:paraId="05D82E50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4.赛场内部除裁判长指定人员外禁止拍照。</w:t>
      </w:r>
    </w:p>
    <w:p w14:paraId="126F8F49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.在比赛前选手可以在工位内准备自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己的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物品和工具，在裁判宣布开始前禁止触碰竞赛设备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或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开启电源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或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开始实验。</w:t>
      </w:r>
    </w:p>
    <w:p w14:paraId="3EF9EEDB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.竞赛期间选手禁止携带存储及通信设备，如带到赛场，需要交给本单位场外人员保管或由赛场工作人员集中保管。</w:t>
      </w:r>
    </w:p>
    <w:p w14:paraId="7D1B13EC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.在赛前题目将会有阅读环节，选手可以对试题表述方面提问，过程中禁止一切记录行为，包括笔记、拍照等，比赛开始后禁止一切形式（口头、书面、肢体语言等）的交流。</w:t>
      </w:r>
    </w:p>
    <w:p w14:paraId="074B1F3D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.选手必须在任务区内对试题内容进行仔细阅读，如有问题及时向现场裁判反映，如有修改必须对所有参赛队公示说明，比赛开始后选手禁止提出针对试题内容的疑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议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或建议。</w:t>
      </w:r>
    </w:p>
    <w:p w14:paraId="35254EF9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.竞赛期间，选手需要通过举手示意与现场裁判进行应答或举手交流，本单位裁判需要回避，由其他单位裁判员前去处理。</w:t>
      </w:r>
    </w:p>
    <w:p w14:paraId="0B20AFDF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.选手如怀疑设备存在问题，可向裁判示意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并选择两种处理方式：</w:t>
      </w:r>
    </w:p>
    <w:p w14:paraId="429933E7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（1）技术工作人员检查设备时选手同时工作，不予补时。</w:t>
      </w:r>
    </w:p>
    <w:p w14:paraId="1F8DDAFD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（2）选手离开工位让技术工作人员检查设备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如确认是设备有问题，则给予相应补时，如设备正常则不予补时。</w:t>
      </w:r>
    </w:p>
    <w:p w14:paraId="645D35CF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.在竞赛过程中，因参赛选手个人原因导致竞赛中断，中断的时间计入参赛选手竞赛时间，不予补偿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非因参赛选手个人原因造成的竞赛中断（如停电），中断时间不计入参赛选手竞赛时间，并予补足。竞赛中断的原因，由裁判长会同当值裁判员在选手回避的情况下做出判断，并尽快告知参赛选手所在参赛队裁判员。参赛选手处理伤病中断比赛的按个人原因导致比赛中断处理，无法继续参赛的，按已完成竞赛部分计算成绩。</w:t>
      </w:r>
    </w:p>
    <w:p w14:paraId="079DBA07">
      <w:pPr>
        <w:spacing w:line="560" w:lineRule="exact"/>
        <w:ind w:firstLine="640" w:firstLineChars="200"/>
        <w:jc w:val="both"/>
        <w:rPr>
          <w:rFonts w:hint="eastAsia" w:ascii="楷体" w:hAnsi="楷体" w:eastAsia="楷体" w:cs="楷体"/>
          <w:sz w:val="32"/>
          <w:szCs w:val="32"/>
          <w:lang w:eastAsia="en-US"/>
        </w:rPr>
      </w:pPr>
      <w:bookmarkStart w:id="5" w:name="bookmark13"/>
      <w:bookmarkEnd w:id="5"/>
      <w:r>
        <w:rPr>
          <w:rFonts w:hint="eastAsia" w:ascii="楷体" w:hAnsi="楷体" w:eastAsia="楷体" w:cs="楷体"/>
          <w:sz w:val="32"/>
          <w:szCs w:val="32"/>
          <w:lang w:eastAsia="en-US"/>
        </w:rPr>
        <w:t>（五）成绩公布</w:t>
      </w:r>
    </w:p>
    <w:p w14:paraId="557847CB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最终成绩经复核无误，由裁判长会同裁判组签字确认后公布。实操比赛全部结束后24小时内公布最终成绩。</w:t>
      </w:r>
    </w:p>
    <w:p w14:paraId="52F17254">
      <w:pPr>
        <w:spacing w:line="560" w:lineRule="exact"/>
        <w:ind w:firstLine="640" w:firstLineChars="200"/>
        <w:jc w:val="both"/>
        <w:rPr>
          <w:rFonts w:hint="eastAsia" w:ascii="楷体" w:hAnsi="楷体" w:eastAsia="楷体" w:cs="楷体"/>
          <w:sz w:val="32"/>
          <w:szCs w:val="32"/>
          <w:lang w:eastAsia="en-US"/>
        </w:rPr>
      </w:pPr>
      <w:bookmarkStart w:id="6" w:name="bookmark14"/>
      <w:bookmarkEnd w:id="6"/>
      <w:r>
        <w:rPr>
          <w:rFonts w:hint="eastAsia" w:ascii="楷体" w:hAnsi="楷体" w:eastAsia="楷体" w:cs="楷体"/>
          <w:sz w:val="32"/>
          <w:szCs w:val="32"/>
          <w:lang w:eastAsia="en-US"/>
        </w:rPr>
        <w:t>（六）技术违规处理</w:t>
      </w:r>
    </w:p>
    <w:p w14:paraId="5DE3434B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1.选手携带其他未经组委会认可的设备、工具、材料等参赛，取消比赛资格；</w:t>
      </w:r>
      <w:bookmarkStart w:id="7" w:name="bookmark31"/>
      <w:bookmarkEnd w:id="7"/>
    </w:p>
    <w:p w14:paraId="209FBADA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2.选手接收场外资料、软件、程序等，取消比赛资格；</w:t>
      </w:r>
    </w:p>
    <w:p w14:paraId="52136187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3.在完成工作任务的过程中，因操作不当导致事故，扣总分10%，情况严重者取消竞赛资格；</w:t>
      </w:r>
    </w:p>
    <w:p w14:paraId="0B175CC1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4.因违规操作损坏赛场提供的设备，污染赛场环境等严重不符合职业规范的行为，视情节扣总分10%，情况严重者取消竞赛资格；</w:t>
      </w:r>
    </w:p>
    <w:p w14:paraId="7CEB7919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5.扰乱赛场秩序，干扰裁判员工作，视情节扣总分10%，情况严重者取消竞赛资格。</w:t>
      </w:r>
    </w:p>
    <w:p w14:paraId="3BB2F386">
      <w:pPr>
        <w:spacing w:line="560" w:lineRule="exact"/>
        <w:ind w:firstLine="640" w:firstLineChars="200"/>
        <w:jc w:val="both"/>
        <w:rPr>
          <w:rFonts w:hint="eastAsia" w:ascii="楷体" w:hAnsi="楷体" w:eastAsia="楷体" w:cs="楷体"/>
          <w:sz w:val="32"/>
          <w:szCs w:val="32"/>
          <w:lang w:eastAsia="en-US"/>
        </w:rPr>
      </w:pPr>
      <w:bookmarkStart w:id="8" w:name="bookmark15"/>
      <w:bookmarkEnd w:id="8"/>
      <w:r>
        <w:rPr>
          <w:rFonts w:hint="eastAsia" w:ascii="楷体" w:hAnsi="楷体" w:eastAsia="楷体" w:cs="楷体"/>
          <w:sz w:val="32"/>
          <w:szCs w:val="32"/>
          <w:lang w:eastAsia="en-US"/>
        </w:rPr>
        <w:t>（七）问题或争议处理</w:t>
      </w:r>
    </w:p>
    <w:p w14:paraId="6044952F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1.竞赛项目内解决</w:t>
      </w:r>
    </w:p>
    <w:p w14:paraId="68970A1B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参赛选手、裁判员发现竞赛过程中存在问题或争议，应向裁判长反映。裁判长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依据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相关规定处理或组织比赛现场裁判员研究解决。处理意见需比赛现场全体裁判员表决，须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获得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全体裁判员半数以上通过。最终处理意见应及时告知意见反映人。</w:t>
      </w:r>
    </w:p>
    <w:p w14:paraId="326BBC4A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2.监督仲裁组解决</w:t>
      </w:r>
    </w:p>
    <w:p w14:paraId="642816FD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本赛项在比赛过程中若出现有失公正或有关人员违规等现象，代表队领队可在比赛结束后1小时之内向监督仲裁工作组提出书面申诉。监督仲裁工作组在接到申诉后的1小时内组织复议，并及时反馈仲裁结果，经调查确认所反映情况属技术性问题的，仍交由竞赛项目内解决。属非技术性问题的，由监督仲裁组作最终裁决。各类问题或争议处理情况，由执委会填写《争议处理记录表》报监督仲裁工作组备案。没有书面申诉或超过1小时进行申诉的不予受理。</w:t>
      </w:r>
    </w:p>
    <w:p w14:paraId="4A5B0FF0">
      <w:pPr>
        <w:spacing w:line="560" w:lineRule="exact"/>
        <w:ind w:firstLine="640" w:firstLineChars="200"/>
        <w:jc w:val="both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四、竞赛场地、设施设备等安排</w:t>
      </w:r>
    </w:p>
    <w:p w14:paraId="12E09D50">
      <w:pPr>
        <w:spacing w:line="560" w:lineRule="exact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（一）赛场规格要求</w:t>
      </w:r>
    </w:p>
    <w:p w14:paraId="04C10F93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1.模块1考核项目：项目场地总面积约100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，分为考核区和非考核区，其中考核区工位数共计62个，每个工位面积约600*500mm，已标明工位号，</w:t>
      </w: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工位内已配备电脑桌1台、计算机1台（安装了大赛所需的必要软件）。</w:t>
      </w:r>
    </w:p>
    <w:p w14:paraId="06FFA09E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en-US"/>
        </w:rPr>
        <w:t>为保证大赛顺利进行，赛场每工位供电系统有必要的安全保护措施。</w:t>
      </w:r>
    </w:p>
    <w:p w14:paraId="4B9A12F7">
      <w:pPr>
        <w:spacing w:line="560" w:lineRule="exact"/>
        <w:ind w:firstLine="640" w:firstLineChars="200"/>
        <w:jc w:val="both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（二）场地布局图</w:t>
      </w:r>
    </w:p>
    <w:p w14:paraId="55F6B063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1.模块1考核项目：</w:t>
      </w:r>
    </w:p>
    <w:p w14:paraId="77435447">
      <w:pPr>
        <w:spacing w:line="560" w:lineRule="exact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241935</wp:posOffset>
            </wp:positionH>
            <wp:positionV relativeFrom="paragraph">
              <wp:posOffset>140970</wp:posOffset>
            </wp:positionV>
            <wp:extent cx="5471160" cy="3330575"/>
            <wp:effectExtent l="0" t="0" r="15240" b="3175"/>
            <wp:wrapTopAndBottom/>
            <wp:docPr id="5" name="图片 5" descr="3048bdb48cb431342b19fb5cef4e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048bdb48cb431342b19fb5cef4e77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71160" cy="333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C94441">
      <w:pPr>
        <w:pStyle w:val="10"/>
        <w:spacing w:line="240" w:lineRule="auto"/>
        <w:ind w:firstLine="640"/>
        <w:jc w:val="left"/>
        <w:rPr>
          <w:rFonts w:hint="eastAsia" w:ascii="方正仿宋_GB2312" w:hAnsi="方正仿宋_GB2312" w:eastAsia="方正仿宋_GB2312" w:cs="方正仿宋_GB2312"/>
          <w:lang w:eastAsia="zh-CN"/>
        </w:rPr>
      </w:pPr>
      <w:r>
        <w:rPr>
          <w:rFonts w:hint="eastAsia" w:ascii="方正仿宋_GB2312" w:hAnsi="方正仿宋_GB2312" w:eastAsia="方正仿宋_GB2312" w:cs="方正仿宋_GB2312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250825</wp:posOffset>
            </wp:positionH>
            <wp:positionV relativeFrom="paragraph">
              <wp:posOffset>-12065</wp:posOffset>
            </wp:positionV>
            <wp:extent cx="5467350" cy="2552700"/>
            <wp:effectExtent l="0" t="0" r="0" b="0"/>
            <wp:wrapTopAndBottom/>
            <wp:docPr id="4" name="图片 4" descr="12fdc29a2dcdf4f01a1feac2cdca6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2fdc29a2dcdf4f01a1feac2cdca65b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A7A630">
      <w:pPr>
        <w:spacing w:line="560" w:lineRule="exact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2.模块2考核项目：项目场地总面积约400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㎡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，分为考核区和非考核区，其中考核区工位数共计5个，每个工位面积约600*800mm，已标明工位号，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工位内已配备电脑桌1台、计算机1台（安装了大赛所需的必要软件）。</w:t>
      </w:r>
    </w:p>
    <w:p w14:paraId="1BE8357F">
      <w:pPr>
        <w:spacing w:line="560" w:lineRule="exact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为保证大赛顺利进行，赛场每工位供电系统有必要的安全保护措施。</w:t>
      </w:r>
    </w:p>
    <w:p w14:paraId="55FD19FD">
      <w:pPr>
        <w:spacing w:line="560" w:lineRule="exact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82550</wp:posOffset>
            </wp:positionH>
            <wp:positionV relativeFrom="paragraph">
              <wp:posOffset>100330</wp:posOffset>
            </wp:positionV>
            <wp:extent cx="5464175" cy="1947545"/>
            <wp:effectExtent l="0" t="0" r="3175" b="14605"/>
            <wp:wrapNone/>
            <wp:docPr id="1" name="图片 1" descr="50820223010887fac73a73cc3519e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0820223010887fac73a73cc3519eb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4175" cy="1947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A8D159">
      <w:pPr>
        <w:spacing w:line="560" w:lineRule="exact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462AF520">
      <w:pPr>
        <w:spacing w:line="560" w:lineRule="exact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064A4A17">
      <w:pPr>
        <w:spacing w:line="560" w:lineRule="exact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1B9A2694">
      <w:pPr>
        <w:spacing w:line="560" w:lineRule="exact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46C3ACAE">
      <w:pPr>
        <w:spacing w:line="560" w:lineRule="exact"/>
        <w:jc w:val="both"/>
        <w:rPr>
          <w:rFonts w:hint="eastAsia" w:ascii="楷体" w:hAnsi="楷体" w:eastAsia="楷体" w:cs="楷体"/>
          <w:sz w:val="32"/>
          <w:szCs w:val="32"/>
          <w:lang w:eastAsia="zh-CN"/>
        </w:rPr>
      </w:pPr>
    </w:p>
    <w:p w14:paraId="2ED46569">
      <w:pPr>
        <w:spacing w:line="560" w:lineRule="exact"/>
        <w:ind w:firstLine="640" w:firstLineChars="200"/>
        <w:jc w:val="both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</w:t>
      </w:r>
      <w:r>
        <w:rPr>
          <w:rFonts w:hint="eastAsia" w:ascii="楷体" w:hAnsi="楷体" w:eastAsia="楷体" w:cs="楷体"/>
          <w:sz w:val="32"/>
          <w:szCs w:val="32"/>
        </w:rPr>
        <w:t>三）基础设施清单</w:t>
      </w:r>
    </w:p>
    <w:p w14:paraId="788C6903">
      <w:pPr>
        <w:spacing w:line="560" w:lineRule="exact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列表说明赛场提供和选手自带的与竞赛直接相关的设施、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设备（不含赛场桌椅等辅助设</w:t>
      </w:r>
      <w:bookmarkStart w:id="9" w:name="_GoBack"/>
      <w:bookmarkEnd w:id="9"/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备）清单（注明哪些是赛场提供；哪些是选手自带。如无需选手自带，须注明）。例如：</w:t>
      </w:r>
    </w:p>
    <w:p w14:paraId="0D7EB4E3">
      <w:pPr>
        <w:spacing w:line="560" w:lineRule="exact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b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模块1考核项目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选手自带工具、材料清单表</w:t>
      </w:r>
    </w:p>
    <w:tbl>
      <w:tblPr>
        <w:tblStyle w:val="11"/>
        <w:tblW w:w="0" w:type="auto"/>
        <w:tblInd w:w="0" w:type="dxa"/>
        <w:tblBorders>
          <w:top w:val="single" w:color="003764" w:sz="8" w:space="0"/>
          <w:left w:val="single" w:color="003764" w:sz="8" w:space="0"/>
          <w:bottom w:val="single" w:color="003764" w:sz="8" w:space="0"/>
          <w:right w:val="single" w:color="003764" w:sz="8" w:space="0"/>
          <w:insideH w:val="single" w:color="003764" w:sz="8" w:space="0"/>
          <w:insideV w:val="single" w:color="003764" w:sz="8" w:space="0"/>
        </w:tblBorders>
        <w:tblLayout w:type="fixed"/>
        <w:tblCellMar>
          <w:top w:w="57" w:type="dxa"/>
          <w:left w:w="142" w:type="dxa"/>
          <w:bottom w:w="57" w:type="dxa"/>
          <w:right w:w="142" w:type="dxa"/>
        </w:tblCellMar>
      </w:tblPr>
      <w:tblGrid>
        <w:gridCol w:w="993"/>
        <w:gridCol w:w="2600"/>
        <w:gridCol w:w="2739"/>
        <w:gridCol w:w="2312"/>
      </w:tblGrid>
      <w:tr w14:paraId="05CD6C15">
        <w:tblPrEx>
          <w:tblBorders>
            <w:top w:val="single" w:color="003764" w:sz="8" w:space="0"/>
            <w:left w:val="single" w:color="003764" w:sz="8" w:space="0"/>
            <w:bottom w:val="single" w:color="003764" w:sz="8" w:space="0"/>
            <w:right w:val="single" w:color="003764" w:sz="8" w:space="0"/>
            <w:insideH w:val="single" w:color="003764" w:sz="8" w:space="0"/>
            <w:insideV w:val="single" w:color="003764" w:sz="8" w:space="0"/>
          </w:tblBorders>
          <w:tblCellMar>
            <w:top w:w="57" w:type="dxa"/>
            <w:left w:w="142" w:type="dxa"/>
            <w:bottom w:w="57" w:type="dxa"/>
            <w:right w:w="142" w:type="dxa"/>
          </w:tblCellMar>
        </w:tblPrEx>
        <w:trPr>
          <w:tblHeader/>
        </w:trPr>
        <w:tc>
          <w:tcPr>
            <w:tcW w:w="993" w:type="dxa"/>
            <w:tcBorders>
              <w:top w:val="single" w:color="003764" w:sz="8" w:space="0"/>
              <w:left w:val="single" w:color="003764" w:sz="8" w:space="0"/>
              <w:bottom w:val="single" w:color="003764" w:sz="8" w:space="0"/>
              <w:right w:val="single" w:color="003764" w:sz="8" w:space="0"/>
            </w:tcBorders>
            <w:noWrap w:val="0"/>
            <w:vAlign w:val="top"/>
          </w:tcPr>
          <w:p w14:paraId="2D2FC469">
            <w:pPr>
              <w:pStyle w:val="24"/>
              <w:snapToGrid w:val="0"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b/>
                <w:caps/>
                <w:color w:val="auto"/>
                <w:sz w:val="24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aps/>
                <w:color w:val="auto"/>
                <w:sz w:val="24"/>
                <w:lang w:val="en-US"/>
              </w:rPr>
              <w:t>序号</w:t>
            </w:r>
          </w:p>
        </w:tc>
        <w:tc>
          <w:tcPr>
            <w:tcW w:w="2600" w:type="dxa"/>
            <w:tcBorders>
              <w:top w:val="single" w:color="003764" w:sz="8" w:space="0"/>
              <w:left w:val="single" w:color="003764" w:sz="8" w:space="0"/>
              <w:bottom w:val="single" w:color="003764" w:sz="8" w:space="0"/>
              <w:right w:val="single" w:color="003764" w:sz="8" w:space="0"/>
            </w:tcBorders>
            <w:noWrap w:val="0"/>
            <w:vAlign w:val="top"/>
          </w:tcPr>
          <w:p w14:paraId="6501BBFB">
            <w:pPr>
              <w:pStyle w:val="24"/>
              <w:snapToGrid w:val="0"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b/>
                <w:caps/>
                <w:color w:val="auto"/>
                <w:sz w:val="24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aps/>
                <w:color w:val="auto"/>
                <w:sz w:val="24"/>
                <w:lang w:val="en-US"/>
              </w:rPr>
              <w:t>名称</w:t>
            </w:r>
          </w:p>
        </w:tc>
        <w:tc>
          <w:tcPr>
            <w:tcW w:w="2739" w:type="dxa"/>
            <w:tcBorders>
              <w:top w:val="single" w:color="003764" w:sz="8" w:space="0"/>
              <w:left w:val="single" w:color="003764" w:sz="8" w:space="0"/>
              <w:bottom w:val="single" w:color="003764" w:sz="8" w:space="0"/>
              <w:right w:val="single" w:color="003764" w:sz="8" w:space="0"/>
            </w:tcBorders>
            <w:noWrap w:val="0"/>
            <w:vAlign w:val="top"/>
          </w:tcPr>
          <w:p w14:paraId="199D96EA">
            <w:pPr>
              <w:pStyle w:val="24"/>
              <w:snapToGrid w:val="0"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b/>
                <w:caps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aps/>
                <w:color w:val="auto"/>
                <w:sz w:val="24"/>
                <w:lang w:val="en-US" w:eastAsia="zh-CN"/>
              </w:rPr>
              <w:t>数量</w:t>
            </w:r>
          </w:p>
        </w:tc>
        <w:tc>
          <w:tcPr>
            <w:tcW w:w="2312" w:type="dxa"/>
            <w:tcBorders>
              <w:top w:val="single" w:color="003764" w:sz="8" w:space="0"/>
              <w:left w:val="single" w:color="003764" w:sz="8" w:space="0"/>
              <w:bottom w:val="single" w:color="003764" w:sz="8" w:space="0"/>
              <w:right w:val="single" w:color="003764" w:sz="8" w:space="0"/>
            </w:tcBorders>
            <w:noWrap w:val="0"/>
            <w:vAlign w:val="top"/>
          </w:tcPr>
          <w:p w14:paraId="1F13F45B">
            <w:pPr>
              <w:pStyle w:val="24"/>
              <w:snapToGrid w:val="0"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b/>
                <w:caps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aps/>
                <w:color w:val="auto"/>
                <w:sz w:val="24"/>
                <w:lang w:val="en-US" w:eastAsia="zh-CN"/>
              </w:rPr>
              <w:t>技术规格</w:t>
            </w:r>
          </w:p>
        </w:tc>
      </w:tr>
      <w:tr w14:paraId="574D4D98">
        <w:tblPrEx>
          <w:tblBorders>
            <w:top w:val="single" w:color="003764" w:sz="8" w:space="0"/>
            <w:left w:val="single" w:color="003764" w:sz="8" w:space="0"/>
            <w:bottom w:val="single" w:color="003764" w:sz="8" w:space="0"/>
            <w:right w:val="single" w:color="003764" w:sz="8" w:space="0"/>
            <w:insideH w:val="single" w:color="003764" w:sz="8" w:space="0"/>
            <w:insideV w:val="single" w:color="003764" w:sz="8" w:space="0"/>
          </w:tblBorders>
          <w:tblCellMar>
            <w:top w:w="57" w:type="dxa"/>
            <w:left w:w="142" w:type="dxa"/>
            <w:bottom w:w="57" w:type="dxa"/>
            <w:right w:w="142" w:type="dxa"/>
          </w:tblCellMar>
        </w:tblPrEx>
        <w:trPr>
          <w:trHeight w:val="381" w:hRule="atLeast"/>
        </w:trPr>
        <w:tc>
          <w:tcPr>
            <w:tcW w:w="993" w:type="dxa"/>
            <w:tcBorders>
              <w:top w:val="single" w:color="003764" w:sz="8" w:space="0"/>
              <w:left w:val="single" w:color="003764" w:sz="8" w:space="0"/>
              <w:bottom w:val="single" w:color="003764" w:sz="8" w:space="0"/>
              <w:right w:val="single" w:color="003764" w:sz="8" w:space="0"/>
            </w:tcBorders>
            <w:noWrap w:val="0"/>
            <w:vAlign w:val="center"/>
          </w:tcPr>
          <w:p w14:paraId="5C7E60D7">
            <w:pPr>
              <w:snapToGrid w:val="0"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lang w:eastAsia="zh-TW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lang w:eastAsia="zh-TW"/>
              </w:rPr>
              <w:t>1</w:t>
            </w:r>
          </w:p>
        </w:tc>
        <w:tc>
          <w:tcPr>
            <w:tcW w:w="2600" w:type="dxa"/>
            <w:tcBorders>
              <w:top w:val="single" w:color="003764" w:sz="8" w:space="0"/>
              <w:left w:val="single" w:color="003764" w:sz="8" w:space="0"/>
              <w:bottom w:val="single" w:color="003764" w:sz="8" w:space="0"/>
              <w:right w:val="single" w:color="003764" w:sz="8" w:space="0"/>
            </w:tcBorders>
            <w:noWrap w:val="0"/>
            <w:vAlign w:val="center"/>
          </w:tcPr>
          <w:p w14:paraId="24476FAF">
            <w:pPr>
              <w:snapToGrid w:val="0"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lang w:val="en-US" w:eastAsia="zh-CN"/>
              </w:rPr>
              <w:t>中性笔</w:t>
            </w:r>
          </w:p>
        </w:tc>
        <w:tc>
          <w:tcPr>
            <w:tcW w:w="2739" w:type="dxa"/>
            <w:tcBorders>
              <w:top w:val="single" w:color="003764" w:sz="8" w:space="0"/>
              <w:left w:val="single" w:color="003764" w:sz="8" w:space="0"/>
              <w:bottom w:val="single" w:color="003764" w:sz="8" w:space="0"/>
              <w:right w:val="single" w:color="003764" w:sz="8" w:space="0"/>
            </w:tcBorders>
            <w:noWrap w:val="0"/>
            <w:vAlign w:val="center"/>
          </w:tcPr>
          <w:p w14:paraId="7961EF3B">
            <w:pPr>
              <w:snapToGrid w:val="0"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lang w:eastAsia="zh-TW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1只/选手</w:t>
            </w:r>
          </w:p>
        </w:tc>
        <w:tc>
          <w:tcPr>
            <w:tcW w:w="2312" w:type="dxa"/>
            <w:tcBorders>
              <w:top w:val="single" w:color="003764" w:sz="8" w:space="0"/>
              <w:left w:val="single" w:color="003764" w:sz="8" w:space="0"/>
              <w:bottom w:val="single" w:color="003764" w:sz="8" w:space="0"/>
              <w:right w:val="single" w:color="003764" w:sz="8" w:space="0"/>
            </w:tcBorders>
            <w:noWrap w:val="0"/>
            <w:vAlign w:val="center"/>
          </w:tcPr>
          <w:p w14:paraId="60ADE77D">
            <w:pPr>
              <w:pStyle w:val="24"/>
              <w:snapToGrid w:val="0"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lang w:val="en-US" w:eastAsia="zh-CN"/>
              </w:rPr>
              <w:t>黑色笔芯0.7mm</w:t>
            </w:r>
          </w:p>
        </w:tc>
      </w:tr>
      <w:tr w14:paraId="649D48F1">
        <w:tblPrEx>
          <w:tblBorders>
            <w:top w:val="single" w:color="003764" w:sz="8" w:space="0"/>
            <w:left w:val="single" w:color="003764" w:sz="8" w:space="0"/>
            <w:bottom w:val="single" w:color="003764" w:sz="8" w:space="0"/>
            <w:right w:val="single" w:color="003764" w:sz="8" w:space="0"/>
            <w:insideH w:val="single" w:color="003764" w:sz="8" w:space="0"/>
            <w:insideV w:val="single" w:color="003764" w:sz="8" w:space="0"/>
          </w:tblBorders>
          <w:tblCellMar>
            <w:top w:w="57" w:type="dxa"/>
            <w:left w:w="142" w:type="dxa"/>
            <w:bottom w:w="57" w:type="dxa"/>
            <w:right w:w="142" w:type="dxa"/>
          </w:tblCellMar>
        </w:tblPrEx>
        <w:trPr>
          <w:trHeight w:val="310" w:hRule="atLeast"/>
        </w:trPr>
        <w:tc>
          <w:tcPr>
            <w:tcW w:w="993" w:type="dxa"/>
            <w:tcBorders>
              <w:top w:val="single" w:color="003764" w:sz="8" w:space="0"/>
              <w:left w:val="single" w:color="003764" w:sz="8" w:space="0"/>
              <w:bottom w:val="single" w:color="003764" w:sz="8" w:space="0"/>
              <w:right w:val="single" w:color="003764" w:sz="8" w:space="0"/>
            </w:tcBorders>
            <w:noWrap w:val="0"/>
            <w:vAlign w:val="center"/>
          </w:tcPr>
          <w:p w14:paraId="250AC71C">
            <w:pPr>
              <w:snapToGrid w:val="0"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lang w:val="en-GB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2</w:t>
            </w:r>
          </w:p>
        </w:tc>
        <w:tc>
          <w:tcPr>
            <w:tcW w:w="2600" w:type="dxa"/>
            <w:tcBorders>
              <w:top w:val="single" w:color="003764" w:sz="8" w:space="0"/>
              <w:left w:val="single" w:color="003764" w:sz="8" w:space="0"/>
              <w:bottom w:val="single" w:color="003764" w:sz="8" w:space="0"/>
              <w:right w:val="single" w:color="003764" w:sz="8" w:space="0"/>
            </w:tcBorders>
            <w:noWrap w:val="0"/>
            <w:vAlign w:val="center"/>
          </w:tcPr>
          <w:p w14:paraId="49A9B6CA">
            <w:pPr>
              <w:snapToGrid w:val="0"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lang w:val="en-US" w:eastAsia="zh-CN"/>
              </w:rPr>
              <w:t>计算器</w:t>
            </w:r>
          </w:p>
        </w:tc>
        <w:tc>
          <w:tcPr>
            <w:tcW w:w="2739" w:type="dxa"/>
            <w:tcBorders>
              <w:top w:val="single" w:color="003764" w:sz="8" w:space="0"/>
              <w:left w:val="single" w:color="003764" w:sz="8" w:space="0"/>
              <w:bottom w:val="single" w:color="003764" w:sz="8" w:space="0"/>
              <w:right w:val="single" w:color="003764" w:sz="8" w:space="0"/>
            </w:tcBorders>
            <w:noWrap w:val="0"/>
            <w:vAlign w:val="center"/>
          </w:tcPr>
          <w:p w14:paraId="7D73A6AA">
            <w:pPr>
              <w:snapToGrid w:val="0"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lang w:val="en-US" w:eastAsia="zh-CN"/>
              </w:rPr>
              <w:t>个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/选手</w:t>
            </w:r>
          </w:p>
        </w:tc>
        <w:tc>
          <w:tcPr>
            <w:tcW w:w="2312" w:type="dxa"/>
            <w:tcBorders>
              <w:top w:val="single" w:color="003764" w:sz="8" w:space="0"/>
              <w:left w:val="single" w:color="003764" w:sz="8" w:space="0"/>
              <w:bottom w:val="single" w:color="003764" w:sz="8" w:space="0"/>
              <w:right w:val="single" w:color="003764" w:sz="8" w:space="0"/>
            </w:tcBorders>
            <w:noWrap w:val="0"/>
            <w:vAlign w:val="center"/>
          </w:tcPr>
          <w:p w14:paraId="6CF1B220">
            <w:pPr>
              <w:snapToGrid w:val="0"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lang w:val="en-US" w:eastAsia="zh-CN"/>
              </w:rPr>
              <w:t>无记忆和存储功能</w:t>
            </w:r>
          </w:p>
        </w:tc>
      </w:tr>
    </w:tbl>
    <w:p w14:paraId="2344C71F">
      <w:pPr>
        <w:spacing w:line="560" w:lineRule="exact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说明：计算器上带有CTLG+M+按钮的属于记忆和存储功能的计算器，不能带入考场；只有M+的是非记忆和存储功能的计算器，可以带入考场，但考试时间内不得转借给他人使用。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通常情况下：未明确在选手携带工具清单中的，一律不得带入赛场。另外，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本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赛场配发的各类工具、材料，选手一律不得带出赛场。</w:t>
      </w:r>
    </w:p>
    <w:p w14:paraId="76399FA0">
      <w:pPr>
        <w:pStyle w:val="9"/>
        <w:ind w:firstLine="600" w:firstLineChars="200"/>
        <w:jc w:val="both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五、安全、健康要求</w:t>
      </w:r>
    </w:p>
    <w:p w14:paraId="5299E573">
      <w:pPr>
        <w:spacing w:line="560" w:lineRule="exact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根据国家相关法规要求，结合本项目实际，提出安全、健康要求及职业操作规范要求，并明确违反后的处理规定。特别是根据本项目具体情况的诸如人身防护，有毒、有害物品携带、存放，防火、防爆等措施。</w:t>
      </w:r>
    </w:p>
    <w:p w14:paraId="2B196A52">
      <w:pPr>
        <w:pStyle w:val="9"/>
        <w:ind w:firstLine="600" w:firstLineChars="200"/>
        <w:jc w:val="both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六、其他</w:t>
      </w:r>
    </w:p>
    <w:p w14:paraId="6C889F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经大赛组委会允许的赞助商和负责宣传的媒体记者，按竞赛规则的要求进入赛场相关区域。上述相关人员不得妨碍、干扰选手的正常比赛。与大赛相关的赛题、评分细则、技术文件等均有著作权保护，未经许可不得它用。</w:t>
      </w:r>
      <w:bookmarkEnd w:id="0"/>
    </w:p>
    <w:sectPr>
      <w:headerReference r:id="rId5" w:type="default"/>
      <w:footerReference r:id="rId6" w:type="default"/>
      <w:pgSz w:w="11906" w:h="16838"/>
      <w:pgMar w:top="1440" w:right="1644" w:bottom="1440" w:left="1644" w:header="851" w:footer="992" w:gutter="0"/>
      <w:pgNumType w:fmt="decimal"/>
      <w:cols w:space="720" w:num="1"/>
      <w:docGrid w:type="linesAndChar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AFE9C26-825B-4CC9-8898-9C924BF0A74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7C1BCFB-9D09-499E-B1C0-F2F01ADF6643}"/>
  </w:font>
  <w:font w:name="Inria Serif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imes New Roman (Headings CS)">
    <w:altName w:val="Times New Roman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Frutiger LT Com 45 Light">
    <w:altName w:val="Segoe Print"/>
    <w:panose1 w:val="00000000000000000000"/>
    <w:charset w:val="00"/>
    <w:family w:val="decorative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A4760ED0-8747-4B02-8821-A0ECB39A431D}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6BF9D7CC-C84A-422A-AF08-D736AB561A2F}"/>
  </w:font>
  <w:font w:name="LinTimes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5" w:fontKey="{3C60B8B2-D6FA-49CA-B7ED-E28E69D22CF7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6" w:fontKey="{D9729C04-8AC6-4472-B741-A2F11F76762A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8E13ECF7-548C-4E16-B707-074D80DE8B54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8" w:fontKey="{49BDFF6E-2699-4AE0-8956-61395204A2A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9" w:fontKey="{710B1266-C901-4C70-9BD8-C446CF51BBF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0" w:fontKey="{7DFEF078-985F-4F11-A14B-5845B75B5B58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7A8F05">
    <w:pPr>
      <w:spacing w:line="237" w:lineRule="auto"/>
      <w:ind w:left="4130"/>
      <w:rPr>
        <w:rFonts w:ascii="FangSong_GB2312" w:hAnsi="FangSong_GB2312" w:eastAsia="FangSong_GB2312" w:cs="FangSong_GB2312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889D0E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889D0E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5124C4">
    <w:pPr>
      <w:pStyle w:val="6"/>
      <w:tabs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5269B6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5269B6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2688590</wp:posOffset>
              </wp:positionH>
              <wp:positionV relativeFrom="paragraph">
                <wp:posOffset>12700</wp:posOffset>
              </wp:positionV>
              <wp:extent cx="76200" cy="191135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flipH="1">
                        <a:off x="0" y="0"/>
                        <a:ext cx="76200" cy="1911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AD09219">
                          <w:pPr>
                            <w:pStyle w:val="6"/>
                            <w:rPr>
                              <w:rFonts w:hint="default" w:ascii="仿宋_GB2312" w:hAnsi="仿宋_GB2312" w:eastAsia="仿宋_GB2312" w:cs="仿宋_GB2312"/>
                              <w:sz w:val="24"/>
                              <w:szCs w:val="24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flip:x;margin-left:211.7pt;margin-top:1pt;height:15.05pt;width:6pt;mso-position-horizontal-relative:margin;z-index:251660288;mso-width-relative:page;mso-height-relative:page;" filled="f" stroked="f" coordsize="21600,21600" o:gfxdata="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MOOvC1wAAAAgBAAAPAAAAAAAAAAEAIAAAACIAAABkcnMv&#10;ZG93bnJldi54bWxQSwECFAAUAAAACACHTuJAVqgoyj0CAABsBAAADgAAAAAAAAABACAAAAAmAQAA&#10;ZHJzL2Uyb0RvYy54bWxQSwUGAAAAAAYABgBZAQAA1Q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4AD09219">
                    <w:pPr>
                      <w:pStyle w:val="6"/>
                      <w:rPr>
                        <w:rFonts w:hint="default" w:ascii="仿宋_GB2312" w:hAnsi="仿宋_GB2312" w:eastAsia="仿宋_GB2312" w:cs="仿宋_GB2312"/>
                        <w:sz w:val="24"/>
                        <w:szCs w:val="24"/>
                        <w:lang w:val="en-US" w:eastAsia="zh-CN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7585EB">
    <w:pPr>
      <w:pStyle w:val="7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656A8D">
    <w:pPr>
      <w:pStyle w:val="7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3"/>
    <w:multiLevelType w:val="multilevel"/>
    <w:tmpl w:val="00000003"/>
    <w:lvl w:ilvl="0" w:tentative="0">
      <w:start w:val="4"/>
      <w:numFmt w:val="japaneseCounting"/>
      <w:pStyle w:val="23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2YjBjOWNiY2EyMTY1NzYwOTNmYjNmZWJkMDcyNzcifQ=="/>
  </w:docVars>
  <w:rsids>
    <w:rsidRoot w:val="0C084FCE"/>
    <w:rsid w:val="000B29DA"/>
    <w:rsid w:val="00252800"/>
    <w:rsid w:val="00357E80"/>
    <w:rsid w:val="0039468C"/>
    <w:rsid w:val="004E06DE"/>
    <w:rsid w:val="005D4603"/>
    <w:rsid w:val="005F6455"/>
    <w:rsid w:val="00C31038"/>
    <w:rsid w:val="00C534C3"/>
    <w:rsid w:val="00C97863"/>
    <w:rsid w:val="00CD3D56"/>
    <w:rsid w:val="013E3471"/>
    <w:rsid w:val="01D04F8E"/>
    <w:rsid w:val="02535CBD"/>
    <w:rsid w:val="028E36D5"/>
    <w:rsid w:val="029B22D0"/>
    <w:rsid w:val="02CA62AA"/>
    <w:rsid w:val="02FC1312"/>
    <w:rsid w:val="036D2DAF"/>
    <w:rsid w:val="04402271"/>
    <w:rsid w:val="0442423B"/>
    <w:rsid w:val="0462039F"/>
    <w:rsid w:val="04A66578"/>
    <w:rsid w:val="04B26F57"/>
    <w:rsid w:val="04E90B5B"/>
    <w:rsid w:val="04F80D9E"/>
    <w:rsid w:val="052F00AD"/>
    <w:rsid w:val="06CC7BB9"/>
    <w:rsid w:val="06D64430"/>
    <w:rsid w:val="071F6AAE"/>
    <w:rsid w:val="075A5844"/>
    <w:rsid w:val="07C566A6"/>
    <w:rsid w:val="085E53BC"/>
    <w:rsid w:val="087529C5"/>
    <w:rsid w:val="08805332"/>
    <w:rsid w:val="09823ECE"/>
    <w:rsid w:val="09BE25B6"/>
    <w:rsid w:val="09F77294"/>
    <w:rsid w:val="0A0961A4"/>
    <w:rsid w:val="0A0D0E47"/>
    <w:rsid w:val="0A5A52D4"/>
    <w:rsid w:val="0B396FAA"/>
    <w:rsid w:val="0B8930E5"/>
    <w:rsid w:val="0B8B1744"/>
    <w:rsid w:val="0B9C2483"/>
    <w:rsid w:val="0BE339A5"/>
    <w:rsid w:val="0C084FCE"/>
    <w:rsid w:val="0CB00D08"/>
    <w:rsid w:val="0D6E60A1"/>
    <w:rsid w:val="0DDB63C6"/>
    <w:rsid w:val="0E010CC3"/>
    <w:rsid w:val="0F05115D"/>
    <w:rsid w:val="0F162D14"/>
    <w:rsid w:val="0F8B7133"/>
    <w:rsid w:val="0F9A4F2B"/>
    <w:rsid w:val="0FE16FFE"/>
    <w:rsid w:val="10335EAE"/>
    <w:rsid w:val="10AC3A3F"/>
    <w:rsid w:val="113D7198"/>
    <w:rsid w:val="11635212"/>
    <w:rsid w:val="118B7221"/>
    <w:rsid w:val="11EE148C"/>
    <w:rsid w:val="11F16A70"/>
    <w:rsid w:val="11FC7CD5"/>
    <w:rsid w:val="12380A2C"/>
    <w:rsid w:val="12B05320"/>
    <w:rsid w:val="12BB1F53"/>
    <w:rsid w:val="138A6C72"/>
    <w:rsid w:val="13B16CE7"/>
    <w:rsid w:val="13E85CE5"/>
    <w:rsid w:val="14015E4F"/>
    <w:rsid w:val="140D340F"/>
    <w:rsid w:val="14311B36"/>
    <w:rsid w:val="1464717C"/>
    <w:rsid w:val="150462F0"/>
    <w:rsid w:val="159D7523"/>
    <w:rsid w:val="15D2269F"/>
    <w:rsid w:val="162714E3"/>
    <w:rsid w:val="164C2CF7"/>
    <w:rsid w:val="165A06C7"/>
    <w:rsid w:val="167172CE"/>
    <w:rsid w:val="16773F56"/>
    <w:rsid w:val="16797F90"/>
    <w:rsid w:val="16A86180"/>
    <w:rsid w:val="16C805D0"/>
    <w:rsid w:val="171001C9"/>
    <w:rsid w:val="17AA2C87"/>
    <w:rsid w:val="17AE5890"/>
    <w:rsid w:val="17CF3BE0"/>
    <w:rsid w:val="18167367"/>
    <w:rsid w:val="190E24E6"/>
    <w:rsid w:val="19C86823"/>
    <w:rsid w:val="19F17A92"/>
    <w:rsid w:val="1A0737EA"/>
    <w:rsid w:val="1A271EAF"/>
    <w:rsid w:val="1ADA2D40"/>
    <w:rsid w:val="1B1A1616"/>
    <w:rsid w:val="1B4C3D60"/>
    <w:rsid w:val="1B636B19"/>
    <w:rsid w:val="1BDD15E1"/>
    <w:rsid w:val="1C204A0A"/>
    <w:rsid w:val="1C4C75BF"/>
    <w:rsid w:val="1C80464B"/>
    <w:rsid w:val="1CBA2D81"/>
    <w:rsid w:val="1D064AB5"/>
    <w:rsid w:val="1D1C3424"/>
    <w:rsid w:val="1D24677C"/>
    <w:rsid w:val="1D482E5C"/>
    <w:rsid w:val="1D675DA9"/>
    <w:rsid w:val="1D97438F"/>
    <w:rsid w:val="1E263F89"/>
    <w:rsid w:val="1E3429EF"/>
    <w:rsid w:val="1E872CC6"/>
    <w:rsid w:val="1EDC742B"/>
    <w:rsid w:val="1F114246"/>
    <w:rsid w:val="1F1A3870"/>
    <w:rsid w:val="1F713058"/>
    <w:rsid w:val="1FD06F5C"/>
    <w:rsid w:val="2000702C"/>
    <w:rsid w:val="20206A63"/>
    <w:rsid w:val="209C58AE"/>
    <w:rsid w:val="20C8339A"/>
    <w:rsid w:val="21022930"/>
    <w:rsid w:val="215E5985"/>
    <w:rsid w:val="21C30312"/>
    <w:rsid w:val="221B7B3B"/>
    <w:rsid w:val="221F7512"/>
    <w:rsid w:val="2369512C"/>
    <w:rsid w:val="23D9206E"/>
    <w:rsid w:val="23FE7D27"/>
    <w:rsid w:val="240510B5"/>
    <w:rsid w:val="24191CCD"/>
    <w:rsid w:val="24521943"/>
    <w:rsid w:val="245B7A40"/>
    <w:rsid w:val="24660568"/>
    <w:rsid w:val="249E52EA"/>
    <w:rsid w:val="250F386E"/>
    <w:rsid w:val="256A4F48"/>
    <w:rsid w:val="256E67E6"/>
    <w:rsid w:val="257250DD"/>
    <w:rsid w:val="25FA62CC"/>
    <w:rsid w:val="260A045D"/>
    <w:rsid w:val="262248C9"/>
    <w:rsid w:val="262A4838"/>
    <w:rsid w:val="2630636C"/>
    <w:rsid w:val="27826579"/>
    <w:rsid w:val="278D0CE0"/>
    <w:rsid w:val="27C70430"/>
    <w:rsid w:val="284877C3"/>
    <w:rsid w:val="28902F18"/>
    <w:rsid w:val="28A72033"/>
    <w:rsid w:val="29AE7AF9"/>
    <w:rsid w:val="29E5512D"/>
    <w:rsid w:val="2A082782"/>
    <w:rsid w:val="2A5B7D43"/>
    <w:rsid w:val="2A7F4FF2"/>
    <w:rsid w:val="2ADB786B"/>
    <w:rsid w:val="2B136D58"/>
    <w:rsid w:val="2B476F33"/>
    <w:rsid w:val="2B4C75CA"/>
    <w:rsid w:val="2BD650E5"/>
    <w:rsid w:val="2C5C0751"/>
    <w:rsid w:val="2C63003D"/>
    <w:rsid w:val="2C8D5961"/>
    <w:rsid w:val="2CB73169"/>
    <w:rsid w:val="2CE675AA"/>
    <w:rsid w:val="2D2D6F87"/>
    <w:rsid w:val="2D4B38B1"/>
    <w:rsid w:val="2E2C5491"/>
    <w:rsid w:val="2E7E0F3D"/>
    <w:rsid w:val="2E9F5C62"/>
    <w:rsid w:val="2F1B3888"/>
    <w:rsid w:val="2F921C8B"/>
    <w:rsid w:val="2F9257C7"/>
    <w:rsid w:val="2FF16992"/>
    <w:rsid w:val="306E1D90"/>
    <w:rsid w:val="308578E9"/>
    <w:rsid w:val="309931C9"/>
    <w:rsid w:val="30C9346B"/>
    <w:rsid w:val="31012C04"/>
    <w:rsid w:val="31A05E1B"/>
    <w:rsid w:val="31CC3212"/>
    <w:rsid w:val="31F75DB5"/>
    <w:rsid w:val="32513718"/>
    <w:rsid w:val="328D5674"/>
    <w:rsid w:val="329B4993"/>
    <w:rsid w:val="32AE36C9"/>
    <w:rsid w:val="332B421D"/>
    <w:rsid w:val="33552D94"/>
    <w:rsid w:val="342C448C"/>
    <w:rsid w:val="345435AA"/>
    <w:rsid w:val="34806536"/>
    <w:rsid w:val="348576A9"/>
    <w:rsid w:val="351864CE"/>
    <w:rsid w:val="35352E7D"/>
    <w:rsid w:val="35531555"/>
    <w:rsid w:val="35A42200"/>
    <w:rsid w:val="36350FB0"/>
    <w:rsid w:val="3679323D"/>
    <w:rsid w:val="36D225B9"/>
    <w:rsid w:val="36E24A44"/>
    <w:rsid w:val="37F37A69"/>
    <w:rsid w:val="38196A86"/>
    <w:rsid w:val="383B10C5"/>
    <w:rsid w:val="3842555B"/>
    <w:rsid w:val="39241B86"/>
    <w:rsid w:val="39473C45"/>
    <w:rsid w:val="39620FA7"/>
    <w:rsid w:val="396C3FC8"/>
    <w:rsid w:val="39736669"/>
    <w:rsid w:val="39C40C73"/>
    <w:rsid w:val="3A086314"/>
    <w:rsid w:val="3A636192"/>
    <w:rsid w:val="3AA974D4"/>
    <w:rsid w:val="3AAB598F"/>
    <w:rsid w:val="3AF64E5C"/>
    <w:rsid w:val="3B005CDB"/>
    <w:rsid w:val="3B5424E2"/>
    <w:rsid w:val="3BB8311D"/>
    <w:rsid w:val="3BE92C13"/>
    <w:rsid w:val="3C092323"/>
    <w:rsid w:val="3C0C78AE"/>
    <w:rsid w:val="3C2052F0"/>
    <w:rsid w:val="3CA612B3"/>
    <w:rsid w:val="3CCF4271"/>
    <w:rsid w:val="3CDD2E67"/>
    <w:rsid w:val="3D8B2F0C"/>
    <w:rsid w:val="3DB520C9"/>
    <w:rsid w:val="3EC146BF"/>
    <w:rsid w:val="3ECF7E9E"/>
    <w:rsid w:val="3F147FA7"/>
    <w:rsid w:val="3F177787"/>
    <w:rsid w:val="3F870207"/>
    <w:rsid w:val="3F9919C6"/>
    <w:rsid w:val="40077B0C"/>
    <w:rsid w:val="40827192"/>
    <w:rsid w:val="410A340F"/>
    <w:rsid w:val="418670FF"/>
    <w:rsid w:val="41872CB2"/>
    <w:rsid w:val="41CF5121"/>
    <w:rsid w:val="41D560FE"/>
    <w:rsid w:val="42366486"/>
    <w:rsid w:val="427262E6"/>
    <w:rsid w:val="42A843C9"/>
    <w:rsid w:val="42D2233D"/>
    <w:rsid w:val="43014CE6"/>
    <w:rsid w:val="431C6F1C"/>
    <w:rsid w:val="432B1D63"/>
    <w:rsid w:val="43430E5B"/>
    <w:rsid w:val="435A7F52"/>
    <w:rsid w:val="436B215F"/>
    <w:rsid w:val="436C0412"/>
    <w:rsid w:val="43924CC4"/>
    <w:rsid w:val="43BE404A"/>
    <w:rsid w:val="43D85A47"/>
    <w:rsid w:val="44380293"/>
    <w:rsid w:val="44D0671E"/>
    <w:rsid w:val="45B05B06"/>
    <w:rsid w:val="45F91CA4"/>
    <w:rsid w:val="45FD1795"/>
    <w:rsid w:val="465B295F"/>
    <w:rsid w:val="468B0CF6"/>
    <w:rsid w:val="4763580B"/>
    <w:rsid w:val="47AA14A8"/>
    <w:rsid w:val="47F1010A"/>
    <w:rsid w:val="481C50E8"/>
    <w:rsid w:val="485D20E2"/>
    <w:rsid w:val="48691363"/>
    <w:rsid w:val="48BF13BF"/>
    <w:rsid w:val="48C3236A"/>
    <w:rsid w:val="48F21359"/>
    <w:rsid w:val="48F96E55"/>
    <w:rsid w:val="495B4E14"/>
    <w:rsid w:val="49753D38"/>
    <w:rsid w:val="49BC41ED"/>
    <w:rsid w:val="4A046F44"/>
    <w:rsid w:val="4A2E4558"/>
    <w:rsid w:val="4A3313A5"/>
    <w:rsid w:val="4A5E02AB"/>
    <w:rsid w:val="4A887696"/>
    <w:rsid w:val="4B296B88"/>
    <w:rsid w:val="4B541ADE"/>
    <w:rsid w:val="4B69167A"/>
    <w:rsid w:val="4C1547E1"/>
    <w:rsid w:val="4C334CC4"/>
    <w:rsid w:val="4C7327B1"/>
    <w:rsid w:val="4C8535C0"/>
    <w:rsid w:val="4C9B5863"/>
    <w:rsid w:val="4DED20EF"/>
    <w:rsid w:val="4DF27705"/>
    <w:rsid w:val="4E8F31A6"/>
    <w:rsid w:val="4EDB463D"/>
    <w:rsid w:val="4F0F42F1"/>
    <w:rsid w:val="4F124D9F"/>
    <w:rsid w:val="4F4553EE"/>
    <w:rsid w:val="4F8C3B89"/>
    <w:rsid w:val="4FE770AA"/>
    <w:rsid w:val="51054E87"/>
    <w:rsid w:val="51104B68"/>
    <w:rsid w:val="515D3978"/>
    <w:rsid w:val="519D207E"/>
    <w:rsid w:val="51A4340C"/>
    <w:rsid w:val="51B42180"/>
    <w:rsid w:val="51C57C2D"/>
    <w:rsid w:val="52334529"/>
    <w:rsid w:val="528678B9"/>
    <w:rsid w:val="52ED493F"/>
    <w:rsid w:val="53F5220E"/>
    <w:rsid w:val="53FB2E99"/>
    <w:rsid w:val="541B0B4E"/>
    <w:rsid w:val="543317E7"/>
    <w:rsid w:val="55F06DA2"/>
    <w:rsid w:val="55F44F3F"/>
    <w:rsid w:val="561609A0"/>
    <w:rsid w:val="568E5C3E"/>
    <w:rsid w:val="56981066"/>
    <w:rsid w:val="56982E14"/>
    <w:rsid w:val="56985BD8"/>
    <w:rsid w:val="569E4362"/>
    <w:rsid w:val="56F34371"/>
    <w:rsid w:val="572E4EB3"/>
    <w:rsid w:val="577F24FF"/>
    <w:rsid w:val="578C2978"/>
    <w:rsid w:val="57A31A70"/>
    <w:rsid w:val="57CF54CC"/>
    <w:rsid w:val="57F517CD"/>
    <w:rsid w:val="58E97957"/>
    <w:rsid w:val="590D43CD"/>
    <w:rsid w:val="5919023C"/>
    <w:rsid w:val="597037B0"/>
    <w:rsid w:val="598B02F4"/>
    <w:rsid w:val="5A3C3B59"/>
    <w:rsid w:val="5A627236"/>
    <w:rsid w:val="5A6578E3"/>
    <w:rsid w:val="5AAE148F"/>
    <w:rsid w:val="5ADC0AF9"/>
    <w:rsid w:val="5AFA0442"/>
    <w:rsid w:val="5B307B0A"/>
    <w:rsid w:val="5B465534"/>
    <w:rsid w:val="5BCF52AD"/>
    <w:rsid w:val="5C6C0930"/>
    <w:rsid w:val="5CDA0AA1"/>
    <w:rsid w:val="5CFA0384"/>
    <w:rsid w:val="5D327B1E"/>
    <w:rsid w:val="5D473B0F"/>
    <w:rsid w:val="5DD961EC"/>
    <w:rsid w:val="5DFE3EA4"/>
    <w:rsid w:val="5E08087F"/>
    <w:rsid w:val="5E0B43F7"/>
    <w:rsid w:val="5E7A5C21"/>
    <w:rsid w:val="5E925C6F"/>
    <w:rsid w:val="5EC96260"/>
    <w:rsid w:val="5F407850"/>
    <w:rsid w:val="5F645F89"/>
    <w:rsid w:val="5FA45334"/>
    <w:rsid w:val="60152359"/>
    <w:rsid w:val="601F0EC0"/>
    <w:rsid w:val="60970279"/>
    <w:rsid w:val="60C34A1A"/>
    <w:rsid w:val="60EB4BB4"/>
    <w:rsid w:val="60F12834"/>
    <w:rsid w:val="6115008A"/>
    <w:rsid w:val="61F05F53"/>
    <w:rsid w:val="62567570"/>
    <w:rsid w:val="627F733F"/>
    <w:rsid w:val="62894684"/>
    <w:rsid w:val="62EB6B4E"/>
    <w:rsid w:val="640144E8"/>
    <w:rsid w:val="648275DD"/>
    <w:rsid w:val="64A532CB"/>
    <w:rsid w:val="654A16B4"/>
    <w:rsid w:val="65A27BF3"/>
    <w:rsid w:val="65D45CA1"/>
    <w:rsid w:val="66013A15"/>
    <w:rsid w:val="661F7221"/>
    <w:rsid w:val="66521231"/>
    <w:rsid w:val="665A1E94"/>
    <w:rsid w:val="66B913D7"/>
    <w:rsid w:val="67927294"/>
    <w:rsid w:val="67FD6F7B"/>
    <w:rsid w:val="682269E1"/>
    <w:rsid w:val="682F5C04"/>
    <w:rsid w:val="68EA5D8F"/>
    <w:rsid w:val="690766BE"/>
    <w:rsid w:val="690C0DA0"/>
    <w:rsid w:val="691B4442"/>
    <w:rsid w:val="692A1FF1"/>
    <w:rsid w:val="694A2693"/>
    <w:rsid w:val="698440F6"/>
    <w:rsid w:val="69AE677E"/>
    <w:rsid w:val="6A141682"/>
    <w:rsid w:val="6A6610D1"/>
    <w:rsid w:val="6AA33DDA"/>
    <w:rsid w:val="6AC975E8"/>
    <w:rsid w:val="6B6F4633"/>
    <w:rsid w:val="6B936474"/>
    <w:rsid w:val="6C240F1E"/>
    <w:rsid w:val="6C731F01"/>
    <w:rsid w:val="6C8B0C81"/>
    <w:rsid w:val="6CAF031E"/>
    <w:rsid w:val="6CB150E5"/>
    <w:rsid w:val="6D0740B1"/>
    <w:rsid w:val="6D312827"/>
    <w:rsid w:val="6D68133A"/>
    <w:rsid w:val="6DE22E9A"/>
    <w:rsid w:val="6E1D3ED3"/>
    <w:rsid w:val="6E213E0C"/>
    <w:rsid w:val="6E5A0C83"/>
    <w:rsid w:val="6E9B27FE"/>
    <w:rsid w:val="6EA33E68"/>
    <w:rsid w:val="6EB02F99"/>
    <w:rsid w:val="6EBE3907"/>
    <w:rsid w:val="6EE42C42"/>
    <w:rsid w:val="6F0357BE"/>
    <w:rsid w:val="6F6634CB"/>
    <w:rsid w:val="6FA36659"/>
    <w:rsid w:val="6FD44A65"/>
    <w:rsid w:val="700417EE"/>
    <w:rsid w:val="70143B2C"/>
    <w:rsid w:val="703C01A2"/>
    <w:rsid w:val="705B0075"/>
    <w:rsid w:val="70A95EF1"/>
    <w:rsid w:val="710C022E"/>
    <w:rsid w:val="710D69DE"/>
    <w:rsid w:val="71973F9C"/>
    <w:rsid w:val="719B1CDE"/>
    <w:rsid w:val="72301DC8"/>
    <w:rsid w:val="727F1ADE"/>
    <w:rsid w:val="72EE3F0A"/>
    <w:rsid w:val="738765E3"/>
    <w:rsid w:val="73AE4416"/>
    <w:rsid w:val="73B9469D"/>
    <w:rsid w:val="73BC418E"/>
    <w:rsid w:val="743431D6"/>
    <w:rsid w:val="745919DD"/>
    <w:rsid w:val="74AB1725"/>
    <w:rsid w:val="74DD43BC"/>
    <w:rsid w:val="750F661D"/>
    <w:rsid w:val="7542686A"/>
    <w:rsid w:val="755C206F"/>
    <w:rsid w:val="75667C19"/>
    <w:rsid w:val="75D5280E"/>
    <w:rsid w:val="75EF25B9"/>
    <w:rsid w:val="7615076A"/>
    <w:rsid w:val="76200A04"/>
    <w:rsid w:val="76524935"/>
    <w:rsid w:val="76D65566"/>
    <w:rsid w:val="76DE7D49"/>
    <w:rsid w:val="77075720"/>
    <w:rsid w:val="776A6CD7"/>
    <w:rsid w:val="77B358A8"/>
    <w:rsid w:val="77C8376A"/>
    <w:rsid w:val="77EB3293"/>
    <w:rsid w:val="7845162D"/>
    <w:rsid w:val="78C767FC"/>
    <w:rsid w:val="78D67AA0"/>
    <w:rsid w:val="78E06773"/>
    <w:rsid w:val="78FD4548"/>
    <w:rsid w:val="79426EE3"/>
    <w:rsid w:val="79533B55"/>
    <w:rsid w:val="799F60E4"/>
    <w:rsid w:val="79B3393D"/>
    <w:rsid w:val="79C71E68"/>
    <w:rsid w:val="7A0E5634"/>
    <w:rsid w:val="7A396538"/>
    <w:rsid w:val="7ABB200E"/>
    <w:rsid w:val="7B105E92"/>
    <w:rsid w:val="7B226FCC"/>
    <w:rsid w:val="7B750C9E"/>
    <w:rsid w:val="7B9427A5"/>
    <w:rsid w:val="7BB06386"/>
    <w:rsid w:val="7BBC2F7D"/>
    <w:rsid w:val="7BC613EA"/>
    <w:rsid w:val="7C1C3A1B"/>
    <w:rsid w:val="7CF130FA"/>
    <w:rsid w:val="7CF278DA"/>
    <w:rsid w:val="7CF6426C"/>
    <w:rsid w:val="7D1455B5"/>
    <w:rsid w:val="7D7A54EF"/>
    <w:rsid w:val="7D937D0D"/>
    <w:rsid w:val="7FB56661"/>
    <w:rsid w:val="7FC81E65"/>
    <w:rsid w:val="7FFDACC7"/>
    <w:rsid w:val="DCBCF617"/>
    <w:rsid w:val="F56EE3AD"/>
    <w:rsid w:val="F5F42B5B"/>
    <w:rsid w:val="F769197D"/>
    <w:rsid w:val="FEF5BB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24"/>
    </w:rPr>
  </w:style>
  <w:style w:type="character" w:default="1" w:styleId="12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0"/>
    <w:rPr>
      <w:rFonts w:ascii="仿宋_GB2312" w:eastAsia="仿宋_GB2312"/>
      <w:sz w:val="32"/>
    </w:rPr>
  </w:style>
  <w:style w:type="paragraph" w:styleId="5">
    <w:name w:val="Balloon Text"/>
    <w:basedOn w:val="1"/>
    <w:link w:val="21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Title"/>
    <w:basedOn w:val="1"/>
    <w:next w:val="1"/>
    <w:qFormat/>
    <w:uiPriority w:val="0"/>
    <w:pPr>
      <w:widowControl/>
      <w:spacing w:line="560" w:lineRule="exact"/>
      <w:contextualSpacing/>
    </w:pPr>
    <w:rPr>
      <w:rFonts w:ascii="Inria Serif" w:hAnsi="Inria Serif" w:cs="Times New Roman (Headings CS)"/>
      <w:b/>
      <w:color w:val="0084AD"/>
      <w:spacing w:val="-10"/>
      <w:kern w:val="28"/>
      <w:sz w:val="50"/>
      <w:szCs w:val="56"/>
      <w:lang w:val="en-AU" w:eastAsia="en-US"/>
    </w:rPr>
  </w:style>
  <w:style w:type="paragraph" w:styleId="10">
    <w:name w:val="Body Text First Indent"/>
    <w:basedOn w:val="4"/>
    <w:qFormat/>
    <w:uiPriority w:val="0"/>
    <w:pPr>
      <w:spacing w:line="560" w:lineRule="exact"/>
      <w:ind w:firstLine="721" w:firstLineChars="200"/>
    </w:pPr>
    <w:rPr>
      <w:rFonts w:ascii="Calibri"/>
    </w:rPr>
  </w:style>
  <w:style w:type="character" w:styleId="13">
    <w:name w:val="FollowedHyperlink"/>
    <w:basedOn w:val="12"/>
    <w:qFormat/>
    <w:uiPriority w:val="0"/>
    <w:rPr>
      <w:color w:val="800080"/>
      <w:u w:val="none"/>
    </w:rPr>
  </w:style>
  <w:style w:type="character" w:styleId="14">
    <w:name w:val="Emphasis"/>
    <w:basedOn w:val="12"/>
    <w:qFormat/>
    <w:uiPriority w:val="0"/>
  </w:style>
  <w:style w:type="character" w:styleId="15">
    <w:name w:val="HTML Definition"/>
    <w:basedOn w:val="12"/>
    <w:qFormat/>
    <w:uiPriority w:val="0"/>
  </w:style>
  <w:style w:type="character" w:styleId="16">
    <w:name w:val="HTML Acronym"/>
    <w:basedOn w:val="12"/>
    <w:qFormat/>
    <w:uiPriority w:val="0"/>
  </w:style>
  <w:style w:type="character" w:styleId="17">
    <w:name w:val="HTML Variable"/>
    <w:basedOn w:val="12"/>
    <w:qFormat/>
    <w:uiPriority w:val="0"/>
  </w:style>
  <w:style w:type="character" w:styleId="18">
    <w:name w:val="Hyperlink"/>
    <w:basedOn w:val="12"/>
    <w:qFormat/>
    <w:uiPriority w:val="0"/>
    <w:rPr>
      <w:color w:val="0000FF"/>
      <w:u w:val="none"/>
    </w:rPr>
  </w:style>
  <w:style w:type="character" w:styleId="19">
    <w:name w:val="HTML Code"/>
    <w:basedOn w:val="12"/>
    <w:qFormat/>
    <w:uiPriority w:val="0"/>
    <w:rPr>
      <w:rFonts w:ascii="Courier New" w:hAnsi="Courier New"/>
      <w:sz w:val="20"/>
    </w:rPr>
  </w:style>
  <w:style w:type="character" w:styleId="20">
    <w:name w:val="HTML Cite"/>
    <w:basedOn w:val="12"/>
    <w:qFormat/>
    <w:uiPriority w:val="0"/>
  </w:style>
  <w:style w:type="character" w:customStyle="1" w:styleId="21">
    <w:name w:val="批注框文本 字符"/>
    <w:basedOn w:val="12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2">
    <w:name w:val="Editable"/>
    <w:qFormat/>
    <w:uiPriority w:val="0"/>
    <w:rPr>
      <w:rFonts w:hint="default" w:ascii="Times New Roman" w:hAnsi="Times New Roman" w:eastAsia="宋体" w:cs="Times New Roman"/>
      <w:color w:val="62B5E5"/>
    </w:rPr>
  </w:style>
  <w:style w:type="paragraph" w:customStyle="1" w:styleId="23">
    <w:name w:val="Table Bullet"/>
    <w:basedOn w:val="1"/>
    <w:qFormat/>
    <w:uiPriority w:val="0"/>
    <w:pPr>
      <w:widowControl/>
      <w:numPr>
        <w:ilvl w:val="0"/>
        <w:numId w:val="1"/>
      </w:numPr>
      <w:spacing w:after="120"/>
      <w:ind w:left="284" w:hanging="284"/>
      <w:contextualSpacing/>
    </w:pPr>
    <w:rPr>
      <w:rFonts w:ascii="Frutiger LT Com 45 Light" w:hAnsi="Frutiger LT Com 45 Light"/>
      <w:kern w:val="0"/>
      <w:sz w:val="20"/>
      <w:szCs w:val="22"/>
      <w:lang w:val="en-GB" w:eastAsia="en-US"/>
    </w:rPr>
  </w:style>
  <w:style w:type="paragraph" w:customStyle="1" w:styleId="24">
    <w:name w:val="Editable table text"/>
    <w:basedOn w:val="1"/>
    <w:qFormat/>
    <w:uiPriority w:val="0"/>
    <w:pPr>
      <w:widowControl/>
    </w:pPr>
    <w:rPr>
      <w:rFonts w:ascii="Frutiger LT Com 45 Light" w:hAnsi="Frutiger LT Com 45 Light"/>
      <w:color w:val="62B5E5"/>
      <w:kern w:val="0"/>
      <w:sz w:val="20"/>
      <w:lang w:val="en-GB" w:eastAsia="en-US"/>
    </w:rPr>
  </w:style>
  <w:style w:type="paragraph" w:customStyle="1" w:styleId="25">
    <w:name w:val="表格"/>
    <w:basedOn w:val="26"/>
    <w:qFormat/>
    <w:uiPriority w:val="0"/>
    <w:pPr>
      <w:ind w:firstLine="0" w:firstLineChars="0"/>
    </w:pPr>
    <w:rPr>
      <w:rFonts w:hint="eastAsia" w:ascii="仿宋" w:hAnsi="仿宋" w:eastAsia="仿宋"/>
      <w:sz w:val="32"/>
      <w:szCs w:val="32"/>
    </w:rPr>
  </w:style>
  <w:style w:type="paragraph" w:customStyle="1" w:styleId="26">
    <w:name w:val="正文部分"/>
    <w:basedOn w:val="1"/>
    <w:qFormat/>
    <w:uiPriority w:val="0"/>
    <w:pPr>
      <w:widowControl/>
      <w:spacing w:line="500" w:lineRule="exact"/>
      <w:ind w:firstLine="480" w:firstLineChars="200"/>
      <w:jc w:val="left"/>
      <w:textAlignment w:val="center"/>
    </w:pPr>
    <w:rPr>
      <w:rFonts w:ascii="华文细黑" w:hAnsi="华文细黑" w:eastAsia="楷体_GB2312" w:cs="Times New Roman"/>
      <w:sz w:val="24"/>
      <w:szCs w:val="20"/>
    </w:rPr>
  </w:style>
  <w:style w:type="table" w:customStyle="1" w:styleId="2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8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14</Pages>
  <Words>5297</Words>
  <Characters>5498</Characters>
  <Lines>114</Lines>
  <Paragraphs>32</Paragraphs>
  <TotalTime>72</TotalTime>
  <ScaleCrop>false</ScaleCrop>
  <LinksUpToDate>false</LinksUpToDate>
  <CharactersWithSpaces>5523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2023-04-20T16:06:00Z</dcterms:created>
  <dc:creator>Administrator</dc:creator>
  <cp:lastModifiedBy>秋风吹</cp:lastModifiedBy>
  <cp:lastPrinted>2025-03-07T07:25:00Z</cp:lastPrinted>
  <dcterms:modified xsi:type="dcterms:W3CDTF">2026-10-19T07:14:18Z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7E4288C794F541FA89DB4A483AC1FB49_13</vt:lpwstr>
  </property>
  <property fmtid="{D5CDD505-2E9C-101B-9397-08002B2CF9AE}" pid="4" name="KSOTemplateDocerSaveRecord">
    <vt:lpwstr>eyJoZGlkIjoiMzYyMTYxM2EwM2NiOGMzZTNiNjkxNzI0OTg2MWU2OWEiLCJ1c2VySWQiOiI2NzU3OTkyNjIifQ==</vt:lpwstr>
  </property>
</Properties>
</file>