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179EF" w14:textId="77777777" w:rsidR="00202D90" w:rsidRDefault="002A4CB6" w:rsidP="004C5C58">
      <w:pPr>
        <w:widowControl/>
        <w:shd w:val="clear" w:color="auto" w:fill="FFFFFF"/>
        <w:spacing w:line="460" w:lineRule="exact"/>
        <w:ind w:firstLineChars="192" w:firstLine="538"/>
        <w:jc w:val="left"/>
        <w:rPr>
          <w:rFonts w:ascii="仿宋" w:eastAsia="仿宋" w:hAnsi="仿宋" w:cs="仿宋"/>
          <w:sz w:val="28"/>
          <w:szCs w:val="28"/>
        </w:rPr>
      </w:pPr>
      <w:r>
        <w:rPr>
          <w:rFonts w:ascii="仿宋" w:eastAsia="仿宋" w:hAnsi="仿宋" w:cs="仿宋" w:hint="eastAsia"/>
          <w:sz w:val="28"/>
          <w:szCs w:val="28"/>
        </w:rPr>
        <w:t>山东化工技师学院新老校区客梯、货梯维修保养参数及技术要求</w:t>
      </w:r>
    </w:p>
    <w:p w14:paraId="7FFFB311" w14:textId="77777777" w:rsidR="00202D90" w:rsidRDefault="00202D90" w:rsidP="004C5C58">
      <w:pPr>
        <w:widowControl/>
        <w:shd w:val="clear" w:color="auto" w:fill="FFFFFF"/>
        <w:spacing w:line="460" w:lineRule="exact"/>
        <w:ind w:firstLineChars="192" w:firstLine="538"/>
        <w:jc w:val="left"/>
        <w:rPr>
          <w:rFonts w:ascii="仿宋" w:eastAsia="仿宋" w:hAnsi="仿宋" w:cs="仿宋"/>
          <w:sz w:val="28"/>
          <w:szCs w:val="28"/>
        </w:rPr>
      </w:pPr>
    </w:p>
    <w:p w14:paraId="0F858D16"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一、电梯参数及技术要求</w:t>
      </w:r>
    </w:p>
    <w:p w14:paraId="11824CDA" w14:textId="77777777" w:rsidR="00202D90" w:rsidRDefault="00202D90">
      <w:pPr>
        <w:widowControl/>
        <w:shd w:val="clear" w:color="auto" w:fill="FFFFFF"/>
        <w:spacing w:line="460" w:lineRule="exact"/>
        <w:jc w:val="left"/>
        <w:rPr>
          <w:rFonts w:ascii="仿宋" w:eastAsia="仿宋" w:hAnsi="仿宋" w:cs="仿宋"/>
          <w:sz w:val="28"/>
          <w:szCs w:val="28"/>
        </w:rPr>
      </w:pPr>
    </w:p>
    <w:tbl>
      <w:tblPr>
        <w:tblW w:w="46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1194"/>
        <w:gridCol w:w="1157"/>
        <w:gridCol w:w="1157"/>
        <w:gridCol w:w="1157"/>
        <w:gridCol w:w="1194"/>
        <w:gridCol w:w="1191"/>
      </w:tblGrid>
      <w:tr w:rsidR="00B8643D" w14:paraId="1335B258" w14:textId="77777777" w:rsidTr="00B8643D">
        <w:trPr>
          <w:trHeight w:val="647"/>
        </w:trPr>
        <w:tc>
          <w:tcPr>
            <w:tcW w:w="565" w:type="pct"/>
            <w:tcBorders>
              <w:top w:val="single" w:sz="4" w:space="0" w:color="auto"/>
              <w:left w:val="single" w:sz="4" w:space="0" w:color="auto"/>
              <w:bottom w:val="single" w:sz="4" w:space="0" w:color="auto"/>
              <w:right w:val="single" w:sz="4" w:space="0" w:color="auto"/>
            </w:tcBorders>
            <w:vAlign w:val="center"/>
          </w:tcPr>
          <w:p w14:paraId="4ECB0217" w14:textId="77777777" w:rsidR="00B8643D" w:rsidRDefault="00B8643D">
            <w:pPr>
              <w:rPr>
                <w:rFonts w:ascii="宋体" w:hAnsi="宋体" w:cs="宋体"/>
                <w:sz w:val="24"/>
              </w:rPr>
            </w:pPr>
            <w:r>
              <w:rPr>
                <w:rFonts w:ascii="宋体" w:hAnsi="宋体" w:cs="宋体" w:hint="eastAsia"/>
                <w:sz w:val="24"/>
              </w:rPr>
              <w:t>电梯名称</w:t>
            </w:r>
          </w:p>
        </w:tc>
        <w:tc>
          <w:tcPr>
            <w:tcW w:w="751" w:type="pct"/>
            <w:tcBorders>
              <w:top w:val="single" w:sz="4" w:space="0" w:color="auto"/>
              <w:left w:val="nil"/>
              <w:bottom w:val="single" w:sz="4" w:space="0" w:color="auto"/>
              <w:right w:val="single" w:sz="4" w:space="0" w:color="auto"/>
            </w:tcBorders>
            <w:vAlign w:val="center"/>
          </w:tcPr>
          <w:p w14:paraId="5D1BFD5A" w14:textId="77777777" w:rsidR="00B8643D" w:rsidRDefault="00B8643D">
            <w:pPr>
              <w:jc w:val="center"/>
              <w:rPr>
                <w:rFonts w:ascii="宋体" w:hAnsi="宋体" w:cs="宋体"/>
                <w:sz w:val="24"/>
              </w:rPr>
            </w:pPr>
            <w:r>
              <w:rPr>
                <w:rFonts w:ascii="宋体" w:hAnsi="宋体" w:cs="宋体" w:hint="eastAsia"/>
                <w:sz w:val="24"/>
              </w:rPr>
              <w:t>新校餐厅东梯客梯</w:t>
            </w:r>
          </w:p>
        </w:tc>
        <w:tc>
          <w:tcPr>
            <w:tcW w:w="728" w:type="pct"/>
            <w:tcBorders>
              <w:top w:val="single" w:sz="4" w:space="0" w:color="auto"/>
              <w:left w:val="nil"/>
              <w:bottom w:val="single" w:sz="4" w:space="0" w:color="auto"/>
              <w:right w:val="single" w:sz="4" w:space="0" w:color="auto"/>
            </w:tcBorders>
            <w:vAlign w:val="center"/>
          </w:tcPr>
          <w:p w14:paraId="15D34D19" w14:textId="77777777" w:rsidR="00B8643D" w:rsidRDefault="00B8643D">
            <w:pPr>
              <w:jc w:val="center"/>
              <w:rPr>
                <w:rFonts w:ascii="宋体" w:hAnsi="宋体" w:cs="宋体"/>
                <w:sz w:val="24"/>
              </w:rPr>
            </w:pPr>
            <w:r>
              <w:rPr>
                <w:rFonts w:ascii="宋体" w:hAnsi="宋体" w:cs="宋体" w:hint="eastAsia"/>
                <w:sz w:val="24"/>
              </w:rPr>
              <w:t>新校餐厅西梯货梯</w:t>
            </w:r>
          </w:p>
        </w:tc>
        <w:tc>
          <w:tcPr>
            <w:tcW w:w="728" w:type="pct"/>
            <w:tcBorders>
              <w:top w:val="single" w:sz="4" w:space="0" w:color="auto"/>
              <w:left w:val="nil"/>
              <w:bottom w:val="single" w:sz="4" w:space="0" w:color="auto"/>
              <w:right w:val="single" w:sz="4" w:space="0" w:color="auto"/>
            </w:tcBorders>
            <w:vAlign w:val="center"/>
          </w:tcPr>
          <w:p w14:paraId="66418508" w14:textId="77777777" w:rsidR="00B8643D" w:rsidRDefault="00B8643D">
            <w:pPr>
              <w:jc w:val="center"/>
              <w:rPr>
                <w:rFonts w:ascii="宋体" w:hAnsi="宋体" w:cs="宋体"/>
                <w:sz w:val="24"/>
              </w:rPr>
            </w:pPr>
            <w:r>
              <w:rPr>
                <w:rFonts w:ascii="宋体" w:hAnsi="宋体" w:cs="宋体" w:hint="eastAsia"/>
                <w:sz w:val="24"/>
              </w:rPr>
              <w:t>新校化机楼货梯</w:t>
            </w:r>
          </w:p>
        </w:tc>
        <w:tc>
          <w:tcPr>
            <w:tcW w:w="728" w:type="pct"/>
            <w:tcBorders>
              <w:top w:val="single" w:sz="4" w:space="0" w:color="auto"/>
              <w:left w:val="nil"/>
              <w:bottom w:val="single" w:sz="4" w:space="0" w:color="auto"/>
              <w:right w:val="single" w:sz="4" w:space="0" w:color="auto"/>
            </w:tcBorders>
            <w:vAlign w:val="center"/>
          </w:tcPr>
          <w:p w14:paraId="7A9972A6" w14:textId="77777777" w:rsidR="00B8643D" w:rsidRDefault="00B8643D">
            <w:pPr>
              <w:jc w:val="center"/>
              <w:rPr>
                <w:rFonts w:ascii="宋体" w:hAnsi="宋体" w:cs="宋体"/>
                <w:sz w:val="24"/>
              </w:rPr>
            </w:pPr>
            <w:r>
              <w:rPr>
                <w:rFonts w:ascii="宋体" w:hAnsi="宋体" w:cs="宋体" w:hint="eastAsia"/>
                <w:sz w:val="24"/>
              </w:rPr>
              <w:t>新校化工楼货梯</w:t>
            </w:r>
          </w:p>
        </w:tc>
        <w:tc>
          <w:tcPr>
            <w:tcW w:w="751" w:type="pct"/>
            <w:tcBorders>
              <w:top w:val="single" w:sz="4" w:space="0" w:color="auto"/>
              <w:left w:val="nil"/>
              <w:bottom w:val="single" w:sz="4" w:space="0" w:color="auto"/>
              <w:right w:val="single" w:sz="4" w:space="0" w:color="auto"/>
            </w:tcBorders>
            <w:vAlign w:val="center"/>
          </w:tcPr>
          <w:p w14:paraId="6BD035F9" w14:textId="77777777" w:rsidR="00B8643D" w:rsidRDefault="00B8643D">
            <w:pPr>
              <w:jc w:val="center"/>
              <w:rPr>
                <w:rFonts w:ascii="宋体" w:hAnsi="宋体" w:cs="宋体"/>
                <w:sz w:val="24"/>
              </w:rPr>
            </w:pPr>
            <w:r>
              <w:rPr>
                <w:rFonts w:ascii="宋体" w:hAnsi="宋体" w:cs="宋体" w:hint="eastAsia"/>
                <w:sz w:val="24"/>
              </w:rPr>
              <w:t>新校分析楼客梯</w:t>
            </w:r>
          </w:p>
        </w:tc>
        <w:tc>
          <w:tcPr>
            <w:tcW w:w="750" w:type="pct"/>
            <w:tcBorders>
              <w:top w:val="single" w:sz="4" w:space="0" w:color="auto"/>
              <w:left w:val="nil"/>
              <w:bottom w:val="single" w:sz="4" w:space="0" w:color="auto"/>
              <w:right w:val="single" w:sz="4" w:space="0" w:color="auto"/>
            </w:tcBorders>
            <w:vAlign w:val="center"/>
          </w:tcPr>
          <w:p w14:paraId="2DB39269" w14:textId="77777777" w:rsidR="00B8643D" w:rsidRDefault="00B8643D">
            <w:pPr>
              <w:jc w:val="center"/>
              <w:rPr>
                <w:rFonts w:ascii="宋体" w:hAnsi="宋体" w:cs="宋体"/>
                <w:sz w:val="24"/>
              </w:rPr>
            </w:pPr>
            <w:r>
              <w:rPr>
                <w:rFonts w:ascii="宋体" w:hAnsi="宋体" w:cs="宋体" w:hint="eastAsia"/>
                <w:sz w:val="24"/>
              </w:rPr>
              <w:t>老校实训楼货梯</w:t>
            </w:r>
          </w:p>
        </w:tc>
      </w:tr>
      <w:tr w:rsidR="00B8643D" w14:paraId="1DCD3229" w14:textId="77777777" w:rsidTr="00B8643D">
        <w:trPr>
          <w:trHeight w:val="647"/>
        </w:trPr>
        <w:tc>
          <w:tcPr>
            <w:tcW w:w="565" w:type="pct"/>
            <w:tcBorders>
              <w:top w:val="single" w:sz="4" w:space="0" w:color="auto"/>
              <w:left w:val="single" w:sz="4" w:space="0" w:color="auto"/>
              <w:bottom w:val="single" w:sz="4" w:space="0" w:color="auto"/>
              <w:right w:val="single" w:sz="4" w:space="0" w:color="auto"/>
            </w:tcBorders>
            <w:vAlign w:val="center"/>
          </w:tcPr>
          <w:p w14:paraId="0E07A7D3" w14:textId="77777777" w:rsidR="00B8643D" w:rsidRDefault="00B8643D">
            <w:pPr>
              <w:jc w:val="center"/>
              <w:rPr>
                <w:rFonts w:ascii="宋体" w:hAnsi="宋体" w:cs="宋体"/>
                <w:sz w:val="24"/>
              </w:rPr>
            </w:pPr>
            <w:r>
              <w:rPr>
                <w:rFonts w:ascii="宋体" w:hAnsi="宋体" w:cs="宋体" w:hint="eastAsia"/>
                <w:sz w:val="24"/>
              </w:rPr>
              <w:t>载重量</w:t>
            </w:r>
          </w:p>
        </w:tc>
        <w:tc>
          <w:tcPr>
            <w:tcW w:w="751" w:type="pct"/>
            <w:tcBorders>
              <w:top w:val="single" w:sz="4" w:space="0" w:color="auto"/>
              <w:left w:val="nil"/>
              <w:bottom w:val="single" w:sz="4" w:space="0" w:color="auto"/>
              <w:right w:val="single" w:sz="4" w:space="0" w:color="auto"/>
            </w:tcBorders>
            <w:vAlign w:val="center"/>
          </w:tcPr>
          <w:p w14:paraId="56BDF290" w14:textId="77777777" w:rsidR="00B8643D" w:rsidRDefault="00B8643D">
            <w:pPr>
              <w:jc w:val="center"/>
              <w:rPr>
                <w:rFonts w:ascii="宋体" w:hAnsi="宋体" w:cs="宋体"/>
                <w:sz w:val="24"/>
              </w:rPr>
            </w:pPr>
            <w:r>
              <w:rPr>
                <w:rFonts w:ascii="宋体" w:hAnsi="宋体" w:cs="宋体" w:hint="eastAsia"/>
                <w:sz w:val="24"/>
              </w:rPr>
              <w:t>825KG</w:t>
            </w:r>
          </w:p>
        </w:tc>
        <w:tc>
          <w:tcPr>
            <w:tcW w:w="728" w:type="pct"/>
            <w:tcBorders>
              <w:top w:val="single" w:sz="4" w:space="0" w:color="auto"/>
              <w:left w:val="nil"/>
              <w:bottom w:val="single" w:sz="4" w:space="0" w:color="auto"/>
              <w:right w:val="single" w:sz="4" w:space="0" w:color="auto"/>
            </w:tcBorders>
            <w:vAlign w:val="center"/>
          </w:tcPr>
          <w:p w14:paraId="500F5EE5" w14:textId="77777777" w:rsidR="00B8643D" w:rsidRDefault="00B8643D">
            <w:pPr>
              <w:jc w:val="center"/>
              <w:rPr>
                <w:rFonts w:ascii="宋体" w:hAnsi="宋体" w:cs="宋体"/>
                <w:sz w:val="24"/>
              </w:rPr>
            </w:pPr>
            <w:r>
              <w:rPr>
                <w:rFonts w:ascii="宋体" w:hAnsi="宋体" w:cs="宋体" w:hint="eastAsia"/>
                <w:sz w:val="24"/>
              </w:rPr>
              <w:t>1050KG</w:t>
            </w:r>
          </w:p>
        </w:tc>
        <w:tc>
          <w:tcPr>
            <w:tcW w:w="728" w:type="pct"/>
            <w:tcBorders>
              <w:top w:val="single" w:sz="4" w:space="0" w:color="auto"/>
              <w:left w:val="nil"/>
              <w:bottom w:val="single" w:sz="4" w:space="0" w:color="auto"/>
              <w:right w:val="single" w:sz="4" w:space="0" w:color="auto"/>
            </w:tcBorders>
            <w:vAlign w:val="center"/>
          </w:tcPr>
          <w:p w14:paraId="78B85633" w14:textId="77777777" w:rsidR="00B8643D" w:rsidRDefault="00B8643D">
            <w:pPr>
              <w:jc w:val="center"/>
              <w:rPr>
                <w:rFonts w:ascii="宋体" w:hAnsi="宋体" w:cs="宋体"/>
                <w:sz w:val="24"/>
              </w:rPr>
            </w:pPr>
            <w:r>
              <w:rPr>
                <w:rFonts w:ascii="宋体" w:hAnsi="宋体" w:cs="宋体" w:hint="eastAsia"/>
                <w:sz w:val="24"/>
              </w:rPr>
              <w:t>1350KG</w:t>
            </w:r>
          </w:p>
        </w:tc>
        <w:tc>
          <w:tcPr>
            <w:tcW w:w="728" w:type="pct"/>
            <w:tcBorders>
              <w:top w:val="single" w:sz="4" w:space="0" w:color="auto"/>
              <w:left w:val="nil"/>
              <w:bottom w:val="single" w:sz="4" w:space="0" w:color="auto"/>
              <w:right w:val="single" w:sz="4" w:space="0" w:color="auto"/>
            </w:tcBorders>
            <w:vAlign w:val="center"/>
          </w:tcPr>
          <w:p w14:paraId="52CFC8A7" w14:textId="77777777" w:rsidR="00B8643D" w:rsidRDefault="00B8643D">
            <w:pPr>
              <w:jc w:val="center"/>
              <w:rPr>
                <w:rFonts w:ascii="宋体" w:hAnsi="宋体" w:cs="宋体"/>
                <w:sz w:val="24"/>
              </w:rPr>
            </w:pPr>
            <w:r>
              <w:rPr>
                <w:rFonts w:ascii="宋体" w:hAnsi="宋体" w:cs="宋体" w:hint="eastAsia"/>
                <w:sz w:val="24"/>
              </w:rPr>
              <w:t>1600KG</w:t>
            </w:r>
          </w:p>
        </w:tc>
        <w:tc>
          <w:tcPr>
            <w:tcW w:w="751" w:type="pct"/>
            <w:tcBorders>
              <w:top w:val="single" w:sz="4" w:space="0" w:color="auto"/>
              <w:left w:val="nil"/>
              <w:bottom w:val="single" w:sz="4" w:space="0" w:color="auto"/>
              <w:right w:val="single" w:sz="4" w:space="0" w:color="auto"/>
            </w:tcBorders>
            <w:vAlign w:val="center"/>
          </w:tcPr>
          <w:p w14:paraId="08519EB1" w14:textId="77777777" w:rsidR="00B8643D" w:rsidRDefault="00B8643D">
            <w:pPr>
              <w:jc w:val="center"/>
              <w:rPr>
                <w:rFonts w:ascii="宋体" w:hAnsi="宋体" w:cs="宋体"/>
                <w:sz w:val="24"/>
              </w:rPr>
            </w:pPr>
            <w:r>
              <w:rPr>
                <w:rFonts w:ascii="宋体" w:hAnsi="宋体" w:cs="宋体" w:hint="eastAsia"/>
                <w:sz w:val="24"/>
              </w:rPr>
              <w:t>825KG</w:t>
            </w:r>
          </w:p>
        </w:tc>
        <w:tc>
          <w:tcPr>
            <w:tcW w:w="750" w:type="pct"/>
            <w:tcBorders>
              <w:top w:val="single" w:sz="4" w:space="0" w:color="auto"/>
              <w:left w:val="nil"/>
              <w:bottom w:val="single" w:sz="4" w:space="0" w:color="auto"/>
              <w:right w:val="single" w:sz="4" w:space="0" w:color="auto"/>
            </w:tcBorders>
            <w:vAlign w:val="center"/>
          </w:tcPr>
          <w:p w14:paraId="3E418E9E" w14:textId="77777777" w:rsidR="00B8643D" w:rsidRDefault="00B8643D">
            <w:pPr>
              <w:jc w:val="center"/>
              <w:rPr>
                <w:rFonts w:ascii="宋体" w:hAnsi="宋体" w:cs="宋体"/>
                <w:sz w:val="24"/>
              </w:rPr>
            </w:pPr>
            <w:r>
              <w:rPr>
                <w:rFonts w:ascii="宋体" w:hAnsi="宋体" w:cs="宋体" w:hint="eastAsia"/>
                <w:sz w:val="24"/>
              </w:rPr>
              <w:t>2000KG</w:t>
            </w:r>
          </w:p>
        </w:tc>
      </w:tr>
      <w:tr w:rsidR="00B8643D" w14:paraId="5C678570" w14:textId="77777777" w:rsidTr="00B8643D">
        <w:trPr>
          <w:trHeight w:val="647"/>
        </w:trPr>
        <w:tc>
          <w:tcPr>
            <w:tcW w:w="565" w:type="pct"/>
            <w:tcBorders>
              <w:top w:val="single" w:sz="4" w:space="0" w:color="auto"/>
              <w:left w:val="single" w:sz="4" w:space="0" w:color="auto"/>
              <w:bottom w:val="single" w:sz="4" w:space="0" w:color="auto"/>
              <w:right w:val="single" w:sz="4" w:space="0" w:color="auto"/>
            </w:tcBorders>
            <w:vAlign w:val="center"/>
          </w:tcPr>
          <w:p w14:paraId="640A140D" w14:textId="77777777" w:rsidR="00B8643D" w:rsidRDefault="00B8643D">
            <w:pPr>
              <w:jc w:val="center"/>
              <w:rPr>
                <w:rFonts w:ascii="宋体" w:hAnsi="宋体" w:cs="宋体"/>
                <w:sz w:val="24"/>
              </w:rPr>
            </w:pPr>
            <w:r>
              <w:rPr>
                <w:rFonts w:ascii="宋体" w:hAnsi="宋体" w:cs="宋体" w:hint="eastAsia"/>
                <w:sz w:val="24"/>
              </w:rPr>
              <w:t>速度</w:t>
            </w:r>
          </w:p>
        </w:tc>
        <w:tc>
          <w:tcPr>
            <w:tcW w:w="751" w:type="pct"/>
            <w:tcBorders>
              <w:top w:val="single" w:sz="4" w:space="0" w:color="auto"/>
              <w:left w:val="nil"/>
              <w:bottom w:val="single" w:sz="4" w:space="0" w:color="auto"/>
              <w:right w:val="single" w:sz="4" w:space="0" w:color="auto"/>
            </w:tcBorders>
            <w:vAlign w:val="center"/>
          </w:tcPr>
          <w:p w14:paraId="71B029A9" w14:textId="77777777" w:rsidR="00B8643D" w:rsidRDefault="00B8643D">
            <w:pPr>
              <w:jc w:val="center"/>
              <w:rPr>
                <w:rFonts w:ascii="宋体" w:hAnsi="宋体" w:cs="宋体"/>
                <w:sz w:val="24"/>
              </w:rPr>
            </w:pPr>
            <w:r>
              <w:rPr>
                <w:rFonts w:ascii="宋体" w:hAnsi="宋体" w:cs="宋体" w:hint="eastAsia"/>
                <w:sz w:val="24"/>
              </w:rPr>
              <w:t>1.0m/s</w:t>
            </w:r>
          </w:p>
        </w:tc>
        <w:tc>
          <w:tcPr>
            <w:tcW w:w="728" w:type="pct"/>
            <w:tcBorders>
              <w:top w:val="single" w:sz="4" w:space="0" w:color="auto"/>
              <w:left w:val="nil"/>
              <w:bottom w:val="single" w:sz="4" w:space="0" w:color="auto"/>
              <w:right w:val="single" w:sz="4" w:space="0" w:color="auto"/>
            </w:tcBorders>
            <w:vAlign w:val="center"/>
          </w:tcPr>
          <w:p w14:paraId="0E3B2AAA" w14:textId="77777777" w:rsidR="00B8643D" w:rsidRDefault="00B8643D">
            <w:pPr>
              <w:jc w:val="center"/>
              <w:rPr>
                <w:rFonts w:ascii="宋体" w:hAnsi="宋体" w:cs="宋体"/>
                <w:sz w:val="24"/>
              </w:rPr>
            </w:pPr>
            <w:r>
              <w:rPr>
                <w:rFonts w:ascii="宋体" w:hAnsi="宋体" w:cs="宋体" w:hint="eastAsia"/>
                <w:sz w:val="24"/>
              </w:rPr>
              <w:t>1.0m/s</w:t>
            </w:r>
          </w:p>
        </w:tc>
        <w:tc>
          <w:tcPr>
            <w:tcW w:w="728" w:type="pct"/>
            <w:tcBorders>
              <w:top w:val="single" w:sz="4" w:space="0" w:color="auto"/>
              <w:left w:val="nil"/>
              <w:bottom w:val="single" w:sz="4" w:space="0" w:color="auto"/>
              <w:right w:val="single" w:sz="4" w:space="0" w:color="auto"/>
            </w:tcBorders>
            <w:vAlign w:val="center"/>
          </w:tcPr>
          <w:p w14:paraId="0EE06F63" w14:textId="77777777" w:rsidR="00B8643D" w:rsidRDefault="00B8643D">
            <w:pPr>
              <w:jc w:val="center"/>
              <w:rPr>
                <w:rFonts w:ascii="宋体" w:hAnsi="宋体" w:cs="宋体"/>
                <w:sz w:val="24"/>
              </w:rPr>
            </w:pPr>
            <w:r>
              <w:rPr>
                <w:rFonts w:ascii="宋体" w:hAnsi="宋体" w:cs="宋体" w:hint="eastAsia"/>
                <w:sz w:val="24"/>
              </w:rPr>
              <w:t>1.0m/s</w:t>
            </w:r>
          </w:p>
        </w:tc>
        <w:tc>
          <w:tcPr>
            <w:tcW w:w="728" w:type="pct"/>
            <w:tcBorders>
              <w:top w:val="single" w:sz="4" w:space="0" w:color="auto"/>
              <w:left w:val="nil"/>
              <w:bottom w:val="single" w:sz="4" w:space="0" w:color="auto"/>
              <w:right w:val="single" w:sz="4" w:space="0" w:color="auto"/>
            </w:tcBorders>
            <w:vAlign w:val="center"/>
          </w:tcPr>
          <w:p w14:paraId="531DE236" w14:textId="77777777" w:rsidR="00B8643D" w:rsidRDefault="00B8643D">
            <w:pPr>
              <w:jc w:val="center"/>
              <w:rPr>
                <w:rFonts w:ascii="宋体" w:hAnsi="宋体" w:cs="宋体"/>
                <w:sz w:val="24"/>
              </w:rPr>
            </w:pPr>
            <w:r>
              <w:rPr>
                <w:rFonts w:ascii="宋体" w:hAnsi="宋体" w:cs="宋体" w:hint="eastAsia"/>
                <w:sz w:val="24"/>
              </w:rPr>
              <w:t>1.0m/s</w:t>
            </w:r>
          </w:p>
        </w:tc>
        <w:tc>
          <w:tcPr>
            <w:tcW w:w="751" w:type="pct"/>
            <w:tcBorders>
              <w:top w:val="single" w:sz="4" w:space="0" w:color="auto"/>
              <w:left w:val="nil"/>
              <w:bottom w:val="single" w:sz="4" w:space="0" w:color="auto"/>
              <w:right w:val="single" w:sz="4" w:space="0" w:color="auto"/>
            </w:tcBorders>
            <w:vAlign w:val="center"/>
          </w:tcPr>
          <w:p w14:paraId="3C7C02C4" w14:textId="77777777" w:rsidR="00B8643D" w:rsidRDefault="00B8643D">
            <w:pPr>
              <w:jc w:val="center"/>
              <w:rPr>
                <w:rFonts w:ascii="宋体" w:hAnsi="宋体" w:cs="宋体"/>
                <w:sz w:val="24"/>
              </w:rPr>
            </w:pPr>
            <w:bookmarkStart w:id="0" w:name="OLE_LINK1"/>
            <w:bookmarkStart w:id="1" w:name="OLE_LINK2"/>
            <w:r>
              <w:rPr>
                <w:rFonts w:ascii="宋体" w:hAnsi="宋体" w:cs="宋体" w:hint="eastAsia"/>
                <w:sz w:val="24"/>
              </w:rPr>
              <w:t>1.0m/s</w:t>
            </w:r>
            <w:bookmarkEnd w:id="0"/>
            <w:bookmarkEnd w:id="1"/>
          </w:p>
        </w:tc>
        <w:tc>
          <w:tcPr>
            <w:tcW w:w="750" w:type="pct"/>
            <w:tcBorders>
              <w:top w:val="single" w:sz="4" w:space="0" w:color="auto"/>
              <w:left w:val="nil"/>
              <w:bottom w:val="single" w:sz="4" w:space="0" w:color="auto"/>
              <w:right w:val="single" w:sz="4" w:space="0" w:color="auto"/>
            </w:tcBorders>
            <w:vAlign w:val="center"/>
          </w:tcPr>
          <w:p w14:paraId="7C82E82D" w14:textId="77777777" w:rsidR="00B8643D" w:rsidRDefault="00B8643D">
            <w:pPr>
              <w:jc w:val="center"/>
              <w:rPr>
                <w:rFonts w:ascii="宋体" w:hAnsi="宋体" w:cs="宋体"/>
                <w:sz w:val="24"/>
              </w:rPr>
            </w:pPr>
            <w:r>
              <w:rPr>
                <w:rFonts w:ascii="宋体" w:hAnsi="宋体" w:cs="宋体" w:hint="eastAsia"/>
                <w:sz w:val="24"/>
              </w:rPr>
              <w:t>0.5m/s</w:t>
            </w:r>
          </w:p>
        </w:tc>
      </w:tr>
      <w:tr w:rsidR="00B8643D" w14:paraId="71439269" w14:textId="77777777" w:rsidTr="00B8643D">
        <w:trPr>
          <w:trHeight w:val="647"/>
        </w:trPr>
        <w:tc>
          <w:tcPr>
            <w:tcW w:w="565" w:type="pct"/>
            <w:tcBorders>
              <w:top w:val="single" w:sz="4" w:space="0" w:color="auto"/>
              <w:left w:val="single" w:sz="4" w:space="0" w:color="auto"/>
              <w:bottom w:val="single" w:sz="4" w:space="0" w:color="auto"/>
              <w:right w:val="single" w:sz="4" w:space="0" w:color="auto"/>
            </w:tcBorders>
            <w:vAlign w:val="center"/>
          </w:tcPr>
          <w:p w14:paraId="0A77054A" w14:textId="77777777" w:rsidR="00B8643D" w:rsidRDefault="00B8643D">
            <w:pPr>
              <w:jc w:val="center"/>
              <w:rPr>
                <w:rFonts w:ascii="宋体" w:hAnsi="宋体" w:cs="宋体"/>
                <w:sz w:val="24"/>
              </w:rPr>
            </w:pPr>
            <w:r>
              <w:rPr>
                <w:rFonts w:ascii="宋体" w:hAnsi="宋体" w:cs="宋体" w:hint="eastAsia"/>
                <w:sz w:val="24"/>
              </w:rPr>
              <w:t>控制方式</w:t>
            </w:r>
          </w:p>
        </w:tc>
        <w:tc>
          <w:tcPr>
            <w:tcW w:w="751" w:type="pct"/>
            <w:tcBorders>
              <w:top w:val="single" w:sz="4" w:space="0" w:color="auto"/>
              <w:left w:val="nil"/>
              <w:bottom w:val="single" w:sz="4" w:space="0" w:color="auto"/>
              <w:right w:val="single" w:sz="4" w:space="0" w:color="auto"/>
            </w:tcBorders>
            <w:vAlign w:val="center"/>
          </w:tcPr>
          <w:p w14:paraId="13129511" w14:textId="77777777" w:rsidR="00B8643D" w:rsidRDefault="00B8643D">
            <w:pPr>
              <w:jc w:val="center"/>
              <w:rPr>
                <w:rFonts w:ascii="宋体" w:hAnsi="宋体" w:cs="宋体"/>
                <w:sz w:val="24"/>
              </w:rPr>
            </w:pPr>
            <w:r>
              <w:rPr>
                <w:rFonts w:ascii="宋体" w:hAnsi="宋体" w:cs="宋体" w:hint="eastAsia"/>
                <w:sz w:val="24"/>
              </w:rPr>
              <w:t>单控</w:t>
            </w:r>
          </w:p>
        </w:tc>
        <w:tc>
          <w:tcPr>
            <w:tcW w:w="728" w:type="pct"/>
            <w:tcBorders>
              <w:top w:val="single" w:sz="4" w:space="0" w:color="auto"/>
              <w:left w:val="nil"/>
              <w:bottom w:val="single" w:sz="4" w:space="0" w:color="auto"/>
              <w:right w:val="single" w:sz="4" w:space="0" w:color="auto"/>
            </w:tcBorders>
            <w:vAlign w:val="center"/>
          </w:tcPr>
          <w:p w14:paraId="4AED74F5" w14:textId="77777777" w:rsidR="00B8643D" w:rsidRDefault="00B8643D">
            <w:pPr>
              <w:jc w:val="center"/>
              <w:rPr>
                <w:rFonts w:ascii="宋体" w:hAnsi="宋体" w:cs="宋体"/>
                <w:sz w:val="24"/>
              </w:rPr>
            </w:pPr>
            <w:r>
              <w:rPr>
                <w:rFonts w:ascii="宋体" w:hAnsi="宋体" w:cs="宋体" w:hint="eastAsia"/>
                <w:sz w:val="24"/>
              </w:rPr>
              <w:t>单控</w:t>
            </w:r>
          </w:p>
        </w:tc>
        <w:tc>
          <w:tcPr>
            <w:tcW w:w="728" w:type="pct"/>
            <w:tcBorders>
              <w:top w:val="single" w:sz="4" w:space="0" w:color="auto"/>
              <w:left w:val="nil"/>
              <w:bottom w:val="single" w:sz="4" w:space="0" w:color="auto"/>
              <w:right w:val="single" w:sz="4" w:space="0" w:color="auto"/>
            </w:tcBorders>
            <w:vAlign w:val="center"/>
          </w:tcPr>
          <w:p w14:paraId="12ACB54C" w14:textId="77777777" w:rsidR="00B8643D" w:rsidRDefault="00B8643D">
            <w:pPr>
              <w:jc w:val="center"/>
              <w:rPr>
                <w:rFonts w:ascii="宋体" w:hAnsi="宋体" w:cs="宋体"/>
                <w:sz w:val="24"/>
              </w:rPr>
            </w:pPr>
            <w:r>
              <w:rPr>
                <w:rFonts w:ascii="宋体" w:hAnsi="宋体" w:cs="宋体" w:hint="eastAsia"/>
                <w:sz w:val="24"/>
              </w:rPr>
              <w:t>单控</w:t>
            </w:r>
          </w:p>
        </w:tc>
        <w:tc>
          <w:tcPr>
            <w:tcW w:w="728" w:type="pct"/>
            <w:tcBorders>
              <w:top w:val="single" w:sz="4" w:space="0" w:color="auto"/>
              <w:left w:val="nil"/>
              <w:bottom w:val="single" w:sz="4" w:space="0" w:color="auto"/>
              <w:right w:val="single" w:sz="4" w:space="0" w:color="auto"/>
            </w:tcBorders>
            <w:vAlign w:val="center"/>
          </w:tcPr>
          <w:p w14:paraId="06B3D35E" w14:textId="77777777" w:rsidR="00B8643D" w:rsidRDefault="00B8643D">
            <w:pPr>
              <w:jc w:val="center"/>
              <w:rPr>
                <w:rFonts w:ascii="宋体" w:hAnsi="宋体" w:cs="宋体"/>
                <w:sz w:val="24"/>
              </w:rPr>
            </w:pPr>
            <w:r>
              <w:rPr>
                <w:rFonts w:ascii="宋体" w:hAnsi="宋体" w:cs="宋体" w:hint="eastAsia"/>
                <w:sz w:val="24"/>
              </w:rPr>
              <w:t>单控</w:t>
            </w:r>
          </w:p>
        </w:tc>
        <w:tc>
          <w:tcPr>
            <w:tcW w:w="751" w:type="pct"/>
            <w:tcBorders>
              <w:top w:val="single" w:sz="4" w:space="0" w:color="auto"/>
              <w:left w:val="nil"/>
              <w:bottom w:val="single" w:sz="4" w:space="0" w:color="auto"/>
              <w:right w:val="single" w:sz="4" w:space="0" w:color="auto"/>
            </w:tcBorders>
            <w:vAlign w:val="center"/>
          </w:tcPr>
          <w:p w14:paraId="3BC07DD0" w14:textId="77777777" w:rsidR="00B8643D" w:rsidRDefault="00B8643D">
            <w:pPr>
              <w:jc w:val="center"/>
              <w:rPr>
                <w:rFonts w:ascii="宋体" w:hAnsi="宋体" w:cs="宋体"/>
                <w:sz w:val="24"/>
              </w:rPr>
            </w:pPr>
            <w:r>
              <w:rPr>
                <w:rFonts w:ascii="宋体" w:hAnsi="宋体" w:cs="宋体" w:hint="eastAsia"/>
                <w:sz w:val="24"/>
              </w:rPr>
              <w:t>单控</w:t>
            </w:r>
          </w:p>
        </w:tc>
        <w:tc>
          <w:tcPr>
            <w:tcW w:w="750" w:type="pct"/>
            <w:tcBorders>
              <w:top w:val="single" w:sz="4" w:space="0" w:color="auto"/>
              <w:left w:val="nil"/>
              <w:bottom w:val="single" w:sz="4" w:space="0" w:color="auto"/>
              <w:right w:val="single" w:sz="4" w:space="0" w:color="auto"/>
            </w:tcBorders>
            <w:vAlign w:val="center"/>
          </w:tcPr>
          <w:p w14:paraId="62A76509" w14:textId="77777777" w:rsidR="00B8643D" w:rsidRDefault="00B8643D">
            <w:pPr>
              <w:jc w:val="center"/>
              <w:rPr>
                <w:rFonts w:ascii="宋体" w:hAnsi="宋体" w:cs="宋体"/>
                <w:sz w:val="24"/>
              </w:rPr>
            </w:pPr>
            <w:bookmarkStart w:id="2" w:name="OLE_LINK3"/>
            <w:bookmarkStart w:id="3" w:name="OLE_LINK4"/>
            <w:r>
              <w:rPr>
                <w:rFonts w:ascii="宋体" w:hAnsi="宋体" w:cs="宋体" w:hint="eastAsia"/>
                <w:sz w:val="24"/>
              </w:rPr>
              <w:t>单控</w:t>
            </w:r>
            <w:bookmarkEnd w:id="2"/>
            <w:bookmarkEnd w:id="3"/>
          </w:p>
        </w:tc>
      </w:tr>
      <w:tr w:rsidR="00B8643D" w14:paraId="0FE412B0" w14:textId="77777777" w:rsidTr="00B8643D">
        <w:trPr>
          <w:trHeight w:val="647"/>
        </w:trPr>
        <w:tc>
          <w:tcPr>
            <w:tcW w:w="565" w:type="pct"/>
            <w:tcBorders>
              <w:top w:val="single" w:sz="4" w:space="0" w:color="auto"/>
              <w:left w:val="single" w:sz="4" w:space="0" w:color="auto"/>
              <w:bottom w:val="single" w:sz="4" w:space="0" w:color="auto"/>
              <w:right w:val="single" w:sz="4" w:space="0" w:color="auto"/>
            </w:tcBorders>
            <w:vAlign w:val="center"/>
          </w:tcPr>
          <w:p w14:paraId="4854B244" w14:textId="77777777" w:rsidR="00B8643D" w:rsidRDefault="00B8643D">
            <w:pPr>
              <w:jc w:val="center"/>
              <w:rPr>
                <w:rFonts w:ascii="宋体" w:hAnsi="宋体" w:cs="宋体"/>
                <w:sz w:val="24"/>
              </w:rPr>
            </w:pPr>
            <w:r>
              <w:rPr>
                <w:rFonts w:ascii="宋体" w:hAnsi="宋体" w:cs="宋体" w:hint="eastAsia"/>
                <w:sz w:val="24"/>
              </w:rPr>
              <w:t>停站层</w:t>
            </w:r>
          </w:p>
        </w:tc>
        <w:tc>
          <w:tcPr>
            <w:tcW w:w="751" w:type="pct"/>
            <w:tcBorders>
              <w:top w:val="single" w:sz="4" w:space="0" w:color="auto"/>
              <w:left w:val="nil"/>
              <w:bottom w:val="single" w:sz="4" w:space="0" w:color="auto"/>
              <w:right w:val="single" w:sz="4" w:space="0" w:color="auto"/>
            </w:tcBorders>
            <w:vAlign w:val="center"/>
          </w:tcPr>
          <w:p w14:paraId="7447B8BC" w14:textId="77777777" w:rsidR="00B8643D" w:rsidRDefault="00B8643D">
            <w:pPr>
              <w:jc w:val="center"/>
              <w:rPr>
                <w:rFonts w:ascii="宋体" w:hAnsi="宋体" w:cs="宋体"/>
                <w:sz w:val="24"/>
              </w:rPr>
            </w:pPr>
            <w:r>
              <w:rPr>
                <w:rFonts w:ascii="宋体" w:hAnsi="宋体" w:cs="宋体" w:hint="eastAsia"/>
                <w:sz w:val="24"/>
              </w:rPr>
              <w:t>3层2站2门</w:t>
            </w:r>
          </w:p>
        </w:tc>
        <w:tc>
          <w:tcPr>
            <w:tcW w:w="728" w:type="pct"/>
            <w:tcBorders>
              <w:top w:val="single" w:sz="4" w:space="0" w:color="auto"/>
              <w:left w:val="nil"/>
              <w:bottom w:val="single" w:sz="4" w:space="0" w:color="auto"/>
              <w:right w:val="single" w:sz="4" w:space="0" w:color="auto"/>
            </w:tcBorders>
            <w:vAlign w:val="center"/>
          </w:tcPr>
          <w:p w14:paraId="7E8702EC" w14:textId="77777777" w:rsidR="00B8643D" w:rsidRDefault="00B8643D">
            <w:pPr>
              <w:jc w:val="center"/>
              <w:rPr>
                <w:rFonts w:ascii="宋体" w:hAnsi="宋体" w:cs="宋体"/>
                <w:sz w:val="24"/>
              </w:rPr>
            </w:pPr>
            <w:r>
              <w:rPr>
                <w:rFonts w:ascii="宋体" w:hAnsi="宋体" w:cs="宋体" w:hint="eastAsia"/>
                <w:sz w:val="24"/>
              </w:rPr>
              <w:t>3层3站3门</w:t>
            </w:r>
          </w:p>
        </w:tc>
        <w:tc>
          <w:tcPr>
            <w:tcW w:w="728" w:type="pct"/>
            <w:tcBorders>
              <w:top w:val="single" w:sz="4" w:space="0" w:color="auto"/>
              <w:left w:val="nil"/>
              <w:bottom w:val="single" w:sz="4" w:space="0" w:color="auto"/>
              <w:right w:val="single" w:sz="4" w:space="0" w:color="auto"/>
            </w:tcBorders>
            <w:vAlign w:val="center"/>
          </w:tcPr>
          <w:p w14:paraId="1C88170A" w14:textId="77777777" w:rsidR="00B8643D" w:rsidRDefault="00B8643D">
            <w:pPr>
              <w:jc w:val="center"/>
              <w:rPr>
                <w:rFonts w:ascii="宋体" w:hAnsi="宋体" w:cs="宋体"/>
                <w:sz w:val="24"/>
              </w:rPr>
            </w:pPr>
            <w:r>
              <w:rPr>
                <w:rFonts w:ascii="宋体" w:hAnsi="宋体" w:cs="宋体" w:hint="eastAsia"/>
                <w:sz w:val="24"/>
              </w:rPr>
              <w:t>4层4站4门</w:t>
            </w:r>
          </w:p>
        </w:tc>
        <w:tc>
          <w:tcPr>
            <w:tcW w:w="728" w:type="pct"/>
            <w:tcBorders>
              <w:top w:val="single" w:sz="4" w:space="0" w:color="auto"/>
              <w:left w:val="nil"/>
              <w:bottom w:val="single" w:sz="4" w:space="0" w:color="auto"/>
              <w:right w:val="single" w:sz="4" w:space="0" w:color="auto"/>
            </w:tcBorders>
            <w:vAlign w:val="center"/>
          </w:tcPr>
          <w:p w14:paraId="2BE8A57D" w14:textId="77777777" w:rsidR="00B8643D" w:rsidRDefault="00B8643D">
            <w:pPr>
              <w:jc w:val="center"/>
              <w:rPr>
                <w:rFonts w:ascii="宋体" w:hAnsi="宋体" w:cs="宋体"/>
                <w:sz w:val="24"/>
              </w:rPr>
            </w:pPr>
            <w:r>
              <w:rPr>
                <w:rFonts w:ascii="宋体" w:hAnsi="宋体" w:cs="宋体" w:hint="eastAsia"/>
                <w:sz w:val="24"/>
              </w:rPr>
              <w:t>4层4站4门</w:t>
            </w:r>
          </w:p>
        </w:tc>
        <w:tc>
          <w:tcPr>
            <w:tcW w:w="751" w:type="pct"/>
            <w:tcBorders>
              <w:top w:val="single" w:sz="4" w:space="0" w:color="auto"/>
              <w:left w:val="nil"/>
              <w:bottom w:val="single" w:sz="4" w:space="0" w:color="auto"/>
              <w:right w:val="single" w:sz="4" w:space="0" w:color="auto"/>
            </w:tcBorders>
            <w:vAlign w:val="center"/>
          </w:tcPr>
          <w:p w14:paraId="1721717F" w14:textId="77777777" w:rsidR="00B8643D" w:rsidRDefault="00B8643D">
            <w:pPr>
              <w:jc w:val="center"/>
              <w:rPr>
                <w:rFonts w:ascii="宋体" w:hAnsi="宋体" w:cs="宋体"/>
                <w:sz w:val="24"/>
              </w:rPr>
            </w:pPr>
            <w:r>
              <w:rPr>
                <w:rFonts w:ascii="宋体" w:hAnsi="宋体" w:cs="宋体" w:hint="eastAsia"/>
                <w:sz w:val="24"/>
              </w:rPr>
              <w:t>3层2站2门</w:t>
            </w:r>
          </w:p>
        </w:tc>
        <w:tc>
          <w:tcPr>
            <w:tcW w:w="750" w:type="pct"/>
            <w:tcBorders>
              <w:top w:val="single" w:sz="4" w:space="0" w:color="auto"/>
              <w:left w:val="nil"/>
              <w:bottom w:val="single" w:sz="4" w:space="0" w:color="auto"/>
              <w:right w:val="single" w:sz="4" w:space="0" w:color="auto"/>
            </w:tcBorders>
            <w:vAlign w:val="center"/>
          </w:tcPr>
          <w:p w14:paraId="790BDABE" w14:textId="77777777" w:rsidR="00B8643D" w:rsidRDefault="00B8643D">
            <w:pPr>
              <w:jc w:val="center"/>
              <w:rPr>
                <w:rFonts w:ascii="宋体" w:hAnsi="宋体" w:cs="宋体"/>
                <w:sz w:val="24"/>
              </w:rPr>
            </w:pPr>
            <w:bookmarkStart w:id="4" w:name="OLE_LINK5"/>
            <w:r>
              <w:rPr>
                <w:rFonts w:ascii="宋体" w:hAnsi="宋体" w:cs="宋体" w:hint="eastAsia"/>
                <w:sz w:val="24"/>
              </w:rPr>
              <w:t>5层5站5门</w:t>
            </w:r>
            <w:bookmarkEnd w:id="4"/>
          </w:p>
        </w:tc>
      </w:tr>
    </w:tbl>
    <w:p w14:paraId="3BAD9FBD"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 xml:space="preserve"> </w:t>
      </w:r>
    </w:p>
    <w:p w14:paraId="0ED5D92D"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二、按下列标准进行电梯维护保养</w:t>
      </w:r>
    </w:p>
    <w:p w14:paraId="3CF939B6"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1、特种设备安全技术规范TSG Z6001-2019电梯维修保养规则、《中华人民共和国特种设备安全法》、《特种设备安全监察条例》</w:t>
      </w:r>
    </w:p>
    <w:p w14:paraId="4027D4F5"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2、电梯安装使用维护说明书</w:t>
      </w:r>
    </w:p>
    <w:p w14:paraId="53218CAD"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3、验收标准：电梯使用管理与维护保养规则、电梯监督检验和定期检验规则</w:t>
      </w:r>
    </w:p>
    <w:p w14:paraId="491EA23D"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4、质量保证：合格，确保通过枣庄市特种设备检验研究院的定期检验</w:t>
      </w:r>
    </w:p>
    <w:p w14:paraId="3742CC63"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5、技术服务：须提供24小时的应急响应服务，且能在接到故障或事故报警后30分钟内到达现场，并能提供正常连续的服务直至故障或事故排除。对电梯困人事故要求在到达现场后10分钟内把乘客从轿厢中救出、对非电子板原因的常见故障要求在60分钟内排除，对电子板原因的故障应在普遍认可的合理时间内解决。 做好电梯年检前的自检工作，确保电梯正常通过年检并取得合格证书。</w:t>
      </w:r>
    </w:p>
    <w:p w14:paraId="18A7BDB8"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6、投标报价</w:t>
      </w:r>
    </w:p>
    <w:p w14:paraId="762607D1"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6.1、投标人应按投标维保电梯数量及价目表如实填写（附件）。</w:t>
      </w:r>
    </w:p>
    <w:p w14:paraId="2C06E42C"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6.2、工程套用定额及取费：总价包干，按投标承诺执行；</w:t>
      </w:r>
    </w:p>
    <w:p w14:paraId="1F6C4095"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lastRenderedPageBreak/>
        <w:t>6.3、工程类别：维护保养。</w:t>
      </w:r>
    </w:p>
    <w:p w14:paraId="16F64A61"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6.4、如果所报总价不完整，只是部分报价，招标人有权拒绝对该投标文件进行评价。</w:t>
      </w:r>
    </w:p>
    <w:p w14:paraId="01903233"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6.5、报价含电梯保险费、维保费、年检费、税费、交通费、人工费等。</w:t>
      </w:r>
    </w:p>
    <w:p w14:paraId="13E28288"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7、保养方式：乙方对电梯设备进行保养的具体内容包含以下项目 ：</w:t>
      </w:r>
    </w:p>
    <w:p w14:paraId="73B65121"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7.1机房内电梯主机减速器、曳引电动机、曳引轮、导向轮、编码器、控制柜内的印板及各种电器元件、限速器、变压器、紧急停靠屏和制动器等的更换、检查、调整、润滑和清洁。</w:t>
      </w:r>
    </w:p>
    <w:p w14:paraId="34534D65"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7.2井道内支架、导轨、层门装置及预报灯、缓冲器、井道内开关、随行电缆和限速器张紧装置等部件的更换、检查、调  整、润滑和清洁。</w:t>
      </w:r>
    </w:p>
    <w:p w14:paraId="7ACCFB39"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7.3电梯轿厢操纵箱及其内部印板、按钮 及各种元件、 整个轿门装置、轿厢和对重的导靴及油杯、平层感应装置、轿顶操纵箱及其内部元件等部件的更换、检查、调整、润滑和消洁。</w:t>
      </w:r>
    </w:p>
    <w:p w14:paraId="24CEAA40"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7.4电梯曳引钢丝绳、补偿钢丝绳、补偿链、限速器钢丝绳的清洁、张力或长度调整，并根据年度检测结果调换。</w:t>
      </w:r>
    </w:p>
    <w:p w14:paraId="27662C7F"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7.5自动扶梯主导轨、扶手带及其驱动装置、梯级及梯级主副轮、主驱动链、安全装置、减速器、电动机、自动加油装置和电磁制动器等部件的更换、检查、调整、润滑和清洁。</w:t>
      </w:r>
    </w:p>
    <w:p w14:paraId="15C5D669"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7.6电梯平层精度的检查和调整。</w:t>
      </w:r>
    </w:p>
    <w:p w14:paraId="61BF3E8D"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7.7、每年对曳引钢丝绳作一次探伤检测，每年对整机作一次安全运行和运行质量检测，并在检测结束时向甲方提交检测报。</w:t>
      </w:r>
    </w:p>
    <w:p w14:paraId="00CFA136"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7.8、提供清洁液、光亮剂等保养辅助用品。</w:t>
      </w:r>
    </w:p>
    <w:p w14:paraId="38683D01"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7.9、提供全天候应急处理服务 ， 并在接到甲方紧急报修 通知后 15 分钟内赶到现场。</w:t>
      </w:r>
    </w:p>
    <w:p w14:paraId="11F92589"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7.10、调换在维保 期内损坏的零部件。</w:t>
      </w:r>
    </w:p>
    <w:p w14:paraId="1E21B35E"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7.11、甲方管理、使用不当、装饰件人为损坏或非保养范围内的原因及因不可抗力损坏的零部件不在更换范围内，但乙方可以当年销售价8折的价格向甲方提供相应的备品配件。</w:t>
      </w:r>
    </w:p>
    <w:p w14:paraId="0DEAD247" w14:textId="77777777"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lastRenderedPageBreak/>
        <w:t>7.12、乙方承担全部电梯的保险费、年检费，并且代办电梯年检申报手续，配合政府主管部门实施年检，确保所有电梯年检合格，并及时取得山东省特种设备检验研究院枣庄分院检验发放的电梯定期检验报告（也称年检报告）交给甲方存档备查。</w:t>
      </w:r>
    </w:p>
    <w:p w14:paraId="049198F5" w14:textId="1D502723" w:rsidR="00202D90" w:rsidRDefault="002A4CB6">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7.13、到学院路校区置换交接时，学院路校区电梯维保费即时结算，甲方不负担结算后的该台电梯维保费。到新年度电梯维保重新</w:t>
      </w:r>
      <w:r w:rsidR="00CF73F0">
        <w:rPr>
          <w:rFonts w:ascii="仿宋" w:eastAsia="仿宋" w:hAnsi="仿宋" w:cs="仿宋" w:hint="eastAsia"/>
          <w:sz w:val="28"/>
          <w:szCs w:val="28"/>
        </w:rPr>
        <w:t>采购</w:t>
      </w:r>
      <w:r>
        <w:rPr>
          <w:rFonts w:ascii="仿宋" w:eastAsia="仿宋" w:hAnsi="仿宋" w:cs="仿宋" w:hint="eastAsia"/>
          <w:sz w:val="28"/>
          <w:szCs w:val="28"/>
        </w:rPr>
        <w:t>时，相应减去该台电梯的维保费。</w:t>
      </w:r>
    </w:p>
    <w:p w14:paraId="60A59417" w14:textId="77777777" w:rsidR="00202D90" w:rsidRDefault="00202D90">
      <w:pPr>
        <w:widowControl/>
        <w:shd w:val="clear" w:color="auto" w:fill="FFFFFF"/>
        <w:spacing w:line="460" w:lineRule="exact"/>
        <w:jc w:val="left"/>
        <w:rPr>
          <w:rFonts w:ascii="仿宋" w:eastAsia="仿宋" w:hAnsi="仿宋" w:cs="仿宋"/>
          <w:sz w:val="28"/>
          <w:szCs w:val="28"/>
        </w:rPr>
      </w:pPr>
    </w:p>
    <w:p w14:paraId="4B2F3330" w14:textId="77777777" w:rsidR="00202D90" w:rsidRDefault="00202D90">
      <w:pPr>
        <w:widowControl/>
        <w:shd w:val="clear" w:color="auto" w:fill="FFFFFF"/>
        <w:spacing w:line="460" w:lineRule="exact"/>
        <w:jc w:val="left"/>
        <w:rPr>
          <w:rFonts w:ascii="仿宋" w:eastAsia="仿宋" w:hAnsi="仿宋" w:cs="仿宋"/>
          <w:sz w:val="28"/>
          <w:szCs w:val="28"/>
        </w:rPr>
      </w:pPr>
    </w:p>
    <w:p w14:paraId="6CCB8370" w14:textId="77777777" w:rsidR="00202D90" w:rsidRDefault="00202D90">
      <w:pPr>
        <w:widowControl/>
        <w:shd w:val="clear" w:color="auto" w:fill="FFFFFF"/>
        <w:spacing w:line="460" w:lineRule="exact"/>
        <w:jc w:val="left"/>
        <w:rPr>
          <w:rFonts w:ascii="仿宋" w:eastAsia="仿宋" w:hAnsi="仿宋" w:cs="仿宋"/>
          <w:sz w:val="28"/>
          <w:szCs w:val="28"/>
        </w:rPr>
      </w:pPr>
    </w:p>
    <w:p w14:paraId="567E5912" w14:textId="77777777" w:rsidR="00202D90" w:rsidRDefault="00202D90">
      <w:pPr>
        <w:widowControl/>
        <w:shd w:val="clear" w:color="auto" w:fill="FFFFFF"/>
        <w:spacing w:line="460" w:lineRule="exact"/>
        <w:jc w:val="left"/>
        <w:rPr>
          <w:rFonts w:ascii="仿宋" w:eastAsia="仿宋" w:hAnsi="仿宋" w:cs="仿宋"/>
          <w:sz w:val="28"/>
          <w:szCs w:val="28"/>
        </w:rPr>
      </w:pPr>
    </w:p>
    <w:p w14:paraId="482BEB45" w14:textId="77777777" w:rsidR="00202D90" w:rsidRDefault="00202D90">
      <w:pPr>
        <w:widowControl/>
        <w:shd w:val="clear" w:color="auto" w:fill="FFFFFF"/>
        <w:spacing w:line="460" w:lineRule="exact"/>
        <w:jc w:val="left"/>
        <w:rPr>
          <w:rFonts w:ascii="仿宋" w:eastAsia="仿宋" w:hAnsi="仿宋" w:cs="仿宋"/>
          <w:sz w:val="28"/>
          <w:szCs w:val="28"/>
        </w:rPr>
      </w:pPr>
    </w:p>
    <w:p w14:paraId="57ED86D7" w14:textId="77777777" w:rsidR="00202D90" w:rsidRDefault="00202D90">
      <w:pPr>
        <w:widowControl/>
        <w:shd w:val="clear" w:color="auto" w:fill="FFFFFF"/>
        <w:spacing w:line="460" w:lineRule="exact"/>
        <w:jc w:val="left"/>
        <w:rPr>
          <w:rFonts w:ascii="仿宋" w:eastAsia="仿宋" w:hAnsi="仿宋" w:cs="仿宋"/>
          <w:sz w:val="28"/>
          <w:szCs w:val="28"/>
        </w:rPr>
      </w:pPr>
    </w:p>
    <w:sectPr w:rsidR="00202D90" w:rsidSect="00202D9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CD3C2" w14:textId="77777777" w:rsidR="007D5C73" w:rsidRDefault="007D5C73" w:rsidP="004C5C58">
      <w:r>
        <w:separator/>
      </w:r>
    </w:p>
  </w:endnote>
  <w:endnote w:type="continuationSeparator" w:id="0">
    <w:p w14:paraId="56880310" w14:textId="77777777" w:rsidR="007D5C73" w:rsidRDefault="007D5C73" w:rsidP="004C5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54523" w14:textId="77777777" w:rsidR="007D5C73" w:rsidRDefault="007D5C73" w:rsidP="004C5C58">
      <w:r>
        <w:separator/>
      </w:r>
    </w:p>
  </w:footnote>
  <w:footnote w:type="continuationSeparator" w:id="0">
    <w:p w14:paraId="210B3017" w14:textId="77777777" w:rsidR="007D5C73" w:rsidRDefault="007D5C73" w:rsidP="004C5C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DRkOGIzOWNhMTFjNDZlZWY5NzFkMGVjNGFkNDJmMzAifQ=="/>
  </w:docVars>
  <w:rsids>
    <w:rsidRoot w:val="36906744"/>
    <w:rsid w:val="00202D90"/>
    <w:rsid w:val="002A4CB6"/>
    <w:rsid w:val="004C5C58"/>
    <w:rsid w:val="006E2CBC"/>
    <w:rsid w:val="007D5C73"/>
    <w:rsid w:val="007E2F77"/>
    <w:rsid w:val="0093403A"/>
    <w:rsid w:val="00B8643D"/>
    <w:rsid w:val="00CF73F0"/>
    <w:rsid w:val="3690674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238DFA"/>
  <w15:docId w15:val="{F17F03AB-AC01-4D7B-A31A-3F11BB2B6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2D90"/>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5C5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4C5C58"/>
    <w:rPr>
      <w:rFonts w:ascii="Times New Roman" w:eastAsia="宋体" w:hAnsi="Times New Roman" w:cs="Times New Roman"/>
      <w:kern w:val="2"/>
      <w:sz w:val="18"/>
      <w:szCs w:val="18"/>
    </w:rPr>
  </w:style>
  <w:style w:type="paragraph" w:styleId="a5">
    <w:name w:val="footer"/>
    <w:basedOn w:val="a"/>
    <w:link w:val="a6"/>
    <w:rsid w:val="004C5C58"/>
    <w:pPr>
      <w:tabs>
        <w:tab w:val="center" w:pos="4153"/>
        <w:tab w:val="right" w:pos="8306"/>
      </w:tabs>
      <w:snapToGrid w:val="0"/>
      <w:jc w:val="left"/>
    </w:pPr>
    <w:rPr>
      <w:sz w:val="18"/>
      <w:szCs w:val="18"/>
    </w:rPr>
  </w:style>
  <w:style w:type="character" w:customStyle="1" w:styleId="a6">
    <w:name w:val="页脚 字符"/>
    <w:basedOn w:val="a0"/>
    <w:link w:val="a5"/>
    <w:rsid w:val="004C5C58"/>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763</Words>
  <Characters>825</Characters>
  <Application>Microsoft Office Word</Application>
  <DocSecurity>0</DocSecurity>
  <Lines>68</Lines>
  <Paragraphs>66</Paragraphs>
  <ScaleCrop>false</ScaleCrop>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小楼风雨</dc:creator>
  <cp:lastModifiedBy>兆印 黄</cp:lastModifiedBy>
  <cp:revision>4</cp:revision>
  <dcterms:created xsi:type="dcterms:W3CDTF">2023-06-20T07:27:00Z</dcterms:created>
  <dcterms:modified xsi:type="dcterms:W3CDTF">2025-06-24T02:18:00Z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33262CE3E66E474DBF32D6AF504C0773_11</vt:lpwstr>
  </property>
</Properties>
</file>