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color w:val="auto"/>
          <w:sz w:val="36"/>
          <w:szCs w:val="36"/>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兖矿能源集团股份有限公司</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委托山东化工技师学院定向培养</w:t>
      </w:r>
      <w:r>
        <w:rPr>
          <w:rFonts w:hint="eastAsia" w:ascii="方正小标宋简体" w:hAnsi="方正小标宋简体" w:eastAsia="方正小标宋简体" w:cs="方正小标宋简体"/>
          <w:b w:val="0"/>
          <w:bCs w:val="0"/>
          <w:color w:val="auto"/>
          <w:sz w:val="36"/>
          <w:szCs w:val="36"/>
          <w:lang w:val="en-US" w:eastAsia="zh-CN"/>
        </w:rPr>
        <w:t>化工产业</w:t>
      </w:r>
      <w:r>
        <w:rPr>
          <w:rFonts w:hint="eastAsia" w:ascii="方正小标宋简体" w:hAnsi="方正小标宋简体" w:eastAsia="方正小标宋简体" w:cs="方正小标宋简体"/>
          <w:b w:val="0"/>
          <w:bCs w:val="0"/>
          <w:color w:val="auto"/>
          <w:sz w:val="36"/>
          <w:szCs w:val="36"/>
        </w:rPr>
        <w:t>技能工人</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招生简章</w:t>
      </w:r>
    </w:p>
    <w:p>
      <w:pPr>
        <w:keepNext w:val="0"/>
        <w:keepLines w:val="0"/>
        <w:pageBreakBefore w:val="0"/>
        <w:widowControl w:val="0"/>
        <w:kinsoku/>
        <w:wordWrap/>
        <w:overflowPunct/>
        <w:topLinePunct w:val="0"/>
        <w:autoSpaceDE/>
        <w:autoSpaceDN/>
        <w:bidi w:val="0"/>
        <w:spacing w:line="560" w:lineRule="exact"/>
        <w:jc w:val="both"/>
        <w:textAlignment w:val="auto"/>
        <w:rPr>
          <w:rFonts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b w:val="0"/>
          <w:bCs/>
          <w:color w:val="auto"/>
          <w:kern w:val="0"/>
          <w:sz w:val="32"/>
          <w:szCs w:val="32"/>
          <w:shd w:val="clear" w:color="auto" w:fill="FFFFFF"/>
        </w:rPr>
      </w:pPr>
      <w:r>
        <w:rPr>
          <w:rFonts w:hint="eastAsia" w:ascii="黑体" w:hAnsi="黑体" w:eastAsia="黑体" w:cs="黑体"/>
          <w:b w:val="0"/>
          <w:bCs/>
          <w:color w:val="auto"/>
          <w:kern w:val="0"/>
          <w:sz w:val="32"/>
          <w:szCs w:val="32"/>
          <w:shd w:val="clear" w:color="auto" w:fill="FFFFFF"/>
        </w:rPr>
        <w:t>兖矿能源集团股份有限公司简介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兖矿能源集团</w:t>
      </w:r>
      <w:r>
        <w:rPr>
          <w:rFonts w:ascii="仿宋_GB2312" w:eastAsia="仿宋_GB2312"/>
          <w:color w:val="auto"/>
          <w:sz w:val="32"/>
          <w:szCs w:val="32"/>
        </w:rPr>
        <w:t>股份有限公司</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以下简称“兖矿能源”</w:t>
      </w:r>
      <w:r>
        <w:rPr>
          <w:rFonts w:hint="eastAsia" w:ascii="仿宋_GB2312" w:eastAsia="仿宋_GB2312"/>
          <w:color w:val="auto"/>
          <w:sz w:val="32"/>
          <w:szCs w:val="32"/>
          <w:lang w:eastAsia="zh-CN"/>
        </w:rPr>
        <w:t>）</w:t>
      </w:r>
      <w:r>
        <w:rPr>
          <w:rFonts w:hint="eastAsia" w:ascii="仿宋_GB2312" w:eastAsia="仿宋_GB2312"/>
          <w:color w:val="auto"/>
          <w:sz w:val="32"/>
          <w:szCs w:val="32"/>
        </w:rPr>
        <w:t>成立于1997年</w:t>
      </w:r>
      <w:r>
        <w:rPr>
          <w:rFonts w:ascii="仿宋_GB2312" w:eastAsia="仿宋_GB2312"/>
          <w:color w:val="auto"/>
          <w:sz w:val="32"/>
          <w:szCs w:val="32"/>
        </w:rPr>
        <w:t>，</w:t>
      </w:r>
      <w:r>
        <w:rPr>
          <w:rFonts w:hint="eastAsia" w:ascii="仿宋_GB2312" w:eastAsia="仿宋_GB2312"/>
          <w:color w:val="auto"/>
          <w:sz w:val="32"/>
          <w:szCs w:val="32"/>
        </w:rPr>
        <w:t>1998年</w:t>
      </w:r>
      <w:r>
        <w:rPr>
          <w:rFonts w:ascii="仿宋_GB2312" w:eastAsia="仿宋_GB2312"/>
          <w:color w:val="auto"/>
          <w:sz w:val="32"/>
          <w:szCs w:val="32"/>
        </w:rPr>
        <w:t>分别在纽约、香港、上海上市；</w:t>
      </w:r>
      <w:r>
        <w:rPr>
          <w:rFonts w:hint="eastAsia" w:ascii="仿宋_GB2312" w:eastAsia="仿宋_GB2312"/>
          <w:color w:val="auto"/>
          <w:sz w:val="32"/>
          <w:szCs w:val="32"/>
        </w:rPr>
        <w:t>2012年</w:t>
      </w:r>
      <w:r>
        <w:rPr>
          <w:rFonts w:ascii="仿宋_GB2312" w:eastAsia="仿宋_GB2312"/>
          <w:color w:val="auto"/>
          <w:sz w:val="32"/>
          <w:szCs w:val="32"/>
        </w:rPr>
        <w:t>控股子公司兖</w:t>
      </w:r>
      <w:r>
        <w:rPr>
          <w:rFonts w:hint="eastAsia" w:ascii="仿宋_GB2312" w:eastAsia="仿宋_GB2312"/>
          <w:color w:val="auto"/>
          <w:sz w:val="32"/>
          <w:szCs w:val="32"/>
        </w:rPr>
        <w:t>煤澳大利亚</w:t>
      </w:r>
      <w:r>
        <w:rPr>
          <w:rFonts w:ascii="仿宋_GB2312" w:eastAsia="仿宋_GB2312"/>
          <w:color w:val="auto"/>
          <w:sz w:val="32"/>
          <w:szCs w:val="32"/>
        </w:rPr>
        <w:t>公司在澳交所上市，是我国唯一一家拥有境内外四地上市平台的煤炭企业。</w:t>
      </w:r>
      <w:r>
        <w:rPr>
          <w:rFonts w:hint="eastAsia" w:ascii="仿宋_GB2312" w:eastAsia="仿宋_GB2312"/>
          <w:color w:val="auto"/>
          <w:sz w:val="32"/>
          <w:szCs w:val="32"/>
        </w:rPr>
        <w:t>公司注册</w:t>
      </w:r>
      <w:r>
        <w:rPr>
          <w:rFonts w:ascii="仿宋_GB2312" w:eastAsia="仿宋_GB2312"/>
          <w:color w:val="auto"/>
          <w:sz w:val="32"/>
          <w:szCs w:val="32"/>
        </w:rPr>
        <w:t>资本金</w:t>
      </w:r>
      <w:r>
        <w:rPr>
          <w:rFonts w:hint="eastAsia" w:ascii="仿宋_GB2312" w:eastAsia="仿宋_GB2312"/>
          <w:color w:val="auto"/>
          <w:sz w:val="32"/>
          <w:szCs w:val="32"/>
        </w:rPr>
        <w:t>49.12亿</w:t>
      </w:r>
      <w:r>
        <w:rPr>
          <w:rFonts w:ascii="仿宋_GB2312" w:eastAsia="仿宋_GB2312"/>
          <w:color w:val="auto"/>
          <w:sz w:val="32"/>
          <w:szCs w:val="32"/>
        </w:rPr>
        <w:t>元，总</w:t>
      </w:r>
      <w:r>
        <w:rPr>
          <w:rFonts w:hint="eastAsia" w:ascii="仿宋_GB2312" w:eastAsia="仿宋_GB2312"/>
          <w:color w:val="auto"/>
          <w:sz w:val="32"/>
          <w:szCs w:val="32"/>
        </w:rPr>
        <w:t>股本49.12亿股</w:t>
      </w:r>
      <w:r>
        <w:rPr>
          <w:rFonts w:ascii="仿宋_GB2312" w:eastAsia="仿宋_GB2312"/>
          <w:color w:val="auto"/>
          <w:sz w:val="32"/>
          <w:szCs w:val="32"/>
        </w:rPr>
        <w:t>。</w:t>
      </w:r>
      <w:r>
        <w:rPr>
          <w:rFonts w:hint="eastAsia" w:ascii="仿宋_GB2312" w:eastAsia="仿宋_GB2312"/>
          <w:color w:val="auto"/>
          <w:sz w:val="32"/>
          <w:szCs w:val="32"/>
        </w:rPr>
        <w:t>兖矿能源把握</w:t>
      </w:r>
      <w:r>
        <w:rPr>
          <w:rFonts w:ascii="仿宋_GB2312" w:eastAsia="仿宋_GB2312"/>
          <w:color w:val="auto"/>
          <w:sz w:val="32"/>
          <w:szCs w:val="32"/>
        </w:rPr>
        <w:t>全球经济一体化、资本流动全球化的发展趋势，坚持实体运营与资本运作双驱动的</w:t>
      </w:r>
      <w:r>
        <w:rPr>
          <w:rFonts w:hint="eastAsia" w:ascii="仿宋_GB2312" w:eastAsia="仿宋_GB2312"/>
          <w:color w:val="auto"/>
          <w:sz w:val="32"/>
          <w:szCs w:val="32"/>
        </w:rPr>
        <w:t>协同</w:t>
      </w:r>
      <w:r>
        <w:rPr>
          <w:rFonts w:ascii="仿宋_GB2312" w:eastAsia="仿宋_GB2312"/>
          <w:color w:val="auto"/>
          <w:sz w:val="32"/>
          <w:szCs w:val="32"/>
        </w:rPr>
        <w:t>发展战略，稳健实施产业延伸、区域布局、资本扩张，逐渐发展成为山东本部、陕</w:t>
      </w:r>
      <w:r>
        <w:rPr>
          <w:rFonts w:hint="eastAsia" w:ascii="仿宋_GB2312" w:eastAsia="仿宋_GB2312"/>
          <w:color w:val="auto"/>
          <w:sz w:val="32"/>
          <w:szCs w:val="32"/>
        </w:rPr>
        <w:t>蒙基地</w:t>
      </w:r>
      <w:r>
        <w:rPr>
          <w:rFonts w:ascii="仿宋_GB2312" w:eastAsia="仿宋_GB2312"/>
          <w:color w:val="auto"/>
          <w:sz w:val="32"/>
          <w:szCs w:val="32"/>
        </w:rPr>
        <w:t>、澳洲基地</w:t>
      </w:r>
      <w:r>
        <w:rPr>
          <w:rFonts w:hint="eastAsia" w:ascii="仿宋_GB2312" w:eastAsia="仿宋_GB2312"/>
          <w:color w:val="auto"/>
          <w:sz w:val="32"/>
          <w:szCs w:val="32"/>
          <w:lang w:eastAsia="zh-CN"/>
        </w:rPr>
        <w:t>“</w:t>
      </w:r>
      <w:r>
        <w:rPr>
          <w:rFonts w:hint="eastAsia" w:ascii="仿宋_GB2312" w:eastAsia="仿宋_GB2312"/>
          <w:color w:val="auto"/>
          <w:sz w:val="32"/>
          <w:szCs w:val="32"/>
        </w:rPr>
        <w:t>三足</w:t>
      </w:r>
      <w:r>
        <w:rPr>
          <w:rFonts w:ascii="仿宋_GB2312" w:eastAsia="仿宋_GB2312"/>
          <w:color w:val="auto"/>
          <w:sz w:val="32"/>
          <w:szCs w:val="32"/>
        </w:rPr>
        <w:t>鼎立</w:t>
      </w:r>
      <w:r>
        <w:rPr>
          <w:rFonts w:hint="eastAsia" w:ascii="仿宋_GB2312" w:eastAsia="仿宋_GB2312"/>
          <w:color w:val="auto"/>
          <w:sz w:val="32"/>
          <w:szCs w:val="32"/>
          <w:lang w:eastAsia="zh-CN"/>
        </w:rPr>
        <w:t>”</w:t>
      </w:r>
      <w:r>
        <w:rPr>
          <w:rFonts w:hint="eastAsia" w:ascii="仿宋_GB2312" w:eastAsia="仿宋_GB2312"/>
          <w:color w:val="auto"/>
          <w:sz w:val="32"/>
          <w:szCs w:val="32"/>
        </w:rPr>
        <w:t>的</w:t>
      </w:r>
      <w:r>
        <w:rPr>
          <w:rFonts w:ascii="仿宋_GB2312" w:eastAsia="仿宋_GB2312"/>
          <w:color w:val="auto"/>
          <w:sz w:val="32"/>
          <w:szCs w:val="32"/>
        </w:rPr>
        <w:t>国际化综合能源集团。</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黑体" w:hAnsi="黑体" w:eastAsia="黑体"/>
          <w:b/>
          <w:bCs/>
          <w:color w:val="auto"/>
          <w:sz w:val="32"/>
          <w:szCs w:val="32"/>
        </w:rPr>
      </w:pPr>
      <w:r>
        <w:rPr>
          <w:rFonts w:hint="eastAsia" w:ascii="Times New Roman" w:hAnsi="仿宋_GB2312" w:eastAsia="仿宋_GB2312"/>
          <w:color w:val="auto"/>
          <w:sz w:val="32"/>
          <w:szCs w:val="32"/>
          <w:lang w:val="en-US" w:eastAsia="zh-CN"/>
        </w:rPr>
        <w:t>兖矿能源化工</w:t>
      </w:r>
      <w:r>
        <w:rPr>
          <w:rFonts w:ascii="Times New Roman" w:hAnsi="仿宋_GB2312" w:eastAsia="仿宋_GB2312"/>
          <w:color w:val="auto"/>
          <w:sz w:val="32"/>
          <w:szCs w:val="32"/>
        </w:rPr>
        <w:t>业务范围涵盖化工产品生产与销售</w:t>
      </w:r>
      <w:r>
        <w:rPr>
          <w:rFonts w:hint="eastAsia" w:ascii="Times New Roman" w:hAnsi="仿宋_GB2312" w:eastAsia="仿宋_GB2312"/>
          <w:color w:val="auto"/>
          <w:sz w:val="32"/>
          <w:szCs w:val="32"/>
        </w:rPr>
        <w:t>、</w:t>
      </w:r>
      <w:r>
        <w:rPr>
          <w:rFonts w:ascii="Times New Roman" w:hAnsi="仿宋_GB2312" w:eastAsia="仿宋_GB2312"/>
          <w:color w:val="auto"/>
          <w:sz w:val="32"/>
          <w:szCs w:val="32"/>
        </w:rPr>
        <w:t>化工技术研究与开发、设备制造、特种设备检测和化工装置设备检维修等。</w:t>
      </w:r>
      <w:r>
        <w:rPr>
          <w:rFonts w:hint="eastAsia" w:ascii="Times New Roman" w:hAnsi="仿宋_GB2312" w:eastAsia="仿宋_GB2312"/>
          <w:color w:val="auto"/>
          <w:sz w:val="32"/>
          <w:szCs w:val="32"/>
        </w:rPr>
        <w:t>现有</w:t>
      </w:r>
      <w:r>
        <w:rPr>
          <w:rFonts w:hint="eastAsia" w:ascii="Times New Roman" w:hAnsi="仿宋_GB2312" w:eastAsia="仿宋_GB2312"/>
          <w:color w:val="auto"/>
          <w:sz w:val="32"/>
          <w:szCs w:val="32"/>
          <w:lang w:val="en-US" w:eastAsia="zh-CN"/>
        </w:rPr>
        <w:t>化工单位</w:t>
      </w:r>
      <w:r>
        <w:rPr>
          <w:rFonts w:hint="eastAsia" w:ascii="Times New Roman" w:hAnsi="仿宋_GB2312" w:eastAsia="仿宋_GB2312"/>
          <w:color w:val="auto"/>
          <w:sz w:val="32"/>
          <w:szCs w:val="32"/>
        </w:rPr>
        <w:t>13个，其中生产单位</w:t>
      </w:r>
      <w:r>
        <w:rPr>
          <w:rFonts w:ascii="Times New Roman" w:hAnsi="仿宋_GB2312" w:eastAsia="仿宋_GB2312"/>
          <w:color w:val="auto"/>
          <w:sz w:val="32"/>
          <w:szCs w:val="32"/>
        </w:rPr>
        <w:t>7</w:t>
      </w:r>
      <w:r>
        <w:rPr>
          <w:rFonts w:hint="eastAsia" w:ascii="Times New Roman" w:hAnsi="仿宋_GB2312" w:eastAsia="仿宋_GB2312"/>
          <w:color w:val="auto"/>
          <w:sz w:val="32"/>
          <w:szCs w:val="32"/>
        </w:rPr>
        <w:t>个、销售单位2个、装备制造单位1个、运维服务单位1个、</w:t>
      </w:r>
      <w:r>
        <w:rPr>
          <w:rFonts w:ascii="Times New Roman" w:hAnsi="仿宋_GB2312" w:eastAsia="仿宋_GB2312"/>
          <w:color w:val="auto"/>
          <w:sz w:val="32"/>
          <w:szCs w:val="32"/>
        </w:rPr>
        <w:t>特种设备检测</w:t>
      </w:r>
      <w:r>
        <w:rPr>
          <w:rFonts w:hint="eastAsia" w:ascii="Times New Roman" w:hAnsi="仿宋_GB2312" w:eastAsia="仿宋_GB2312"/>
          <w:color w:val="auto"/>
          <w:sz w:val="32"/>
          <w:szCs w:val="32"/>
        </w:rPr>
        <w:t>单位1个、研发机构1个。</w:t>
      </w:r>
      <w:r>
        <w:rPr>
          <w:rFonts w:ascii="Times New Roman" w:hAnsi="仿宋_GB2312" w:eastAsia="仿宋_GB2312"/>
          <w:color w:val="auto"/>
          <w:sz w:val="32"/>
          <w:szCs w:val="32"/>
        </w:rPr>
        <w:t>公司共有</w:t>
      </w:r>
      <w:r>
        <w:rPr>
          <w:rFonts w:hint="eastAsia" w:ascii="Times New Roman" w:hAnsi="仿宋_GB2312" w:eastAsia="仿宋_GB2312"/>
          <w:color w:val="auto"/>
          <w:sz w:val="32"/>
          <w:szCs w:val="32"/>
        </w:rPr>
        <w:t>30余</w:t>
      </w:r>
      <w:r>
        <w:rPr>
          <w:rFonts w:ascii="Times New Roman" w:hAnsi="仿宋_GB2312" w:eastAsia="仿宋_GB2312"/>
          <w:color w:val="auto"/>
          <w:sz w:val="32"/>
          <w:szCs w:val="32"/>
        </w:rPr>
        <w:t>种主要化工产品，总产能达1200余万吨，其中甲醇490万吨，焦炭175万吨</w:t>
      </w:r>
      <w:r>
        <w:rPr>
          <w:rFonts w:hint="eastAsia" w:ascii="Times New Roman" w:hAnsi="仿宋_GB2312" w:eastAsia="仿宋_GB2312"/>
          <w:color w:val="auto"/>
          <w:sz w:val="32"/>
          <w:szCs w:val="32"/>
        </w:rPr>
        <w:t>，</w:t>
      </w:r>
      <w:r>
        <w:rPr>
          <w:rFonts w:ascii="Times New Roman" w:hAnsi="仿宋_GB2312" w:eastAsia="仿宋_GB2312"/>
          <w:color w:val="auto"/>
          <w:sz w:val="32"/>
          <w:szCs w:val="32"/>
        </w:rPr>
        <w:t>醋酸及下游酯类产品150万吨，油品100万吨</w:t>
      </w:r>
      <w:r>
        <w:rPr>
          <w:rFonts w:hint="eastAsia" w:ascii="Times New Roman" w:hAnsi="仿宋_GB2312" w:eastAsia="仿宋_GB2312"/>
          <w:color w:val="auto"/>
          <w:sz w:val="32"/>
          <w:szCs w:val="32"/>
        </w:rPr>
        <w:t>，</w:t>
      </w:r>
      <w:r>
        <w:rPr>
          <w:rFonts w:ascii="Times New Roman" w:hAnsi="仿宋_GB2312" w:eastAsia="仿宋_GB2312"/>
          <w:color w:val="auto"/>
          <w:sz w:val="32"/>
          <w:szCs w:val="32"/>
        </w:rPr>
        <w:t>新材料行业产品乙二醇40万吨</w:t>
      </w:r>
      <w:r>
        <w:rPr>
          <w:rFonts w:hint="eastAsia" w:ascii="Times New Roman" w:hAnsi="仿宋_GB2312" w:eastAsia="仿宋_GB2312"/>
          <w:color w:val="auto"/>
          <w:sz w:val="32"/>
          <w:szCs w:val="32"/>
        </w:rPr>
        <w:t>，</w:t>
      </w:r>
      <w:r>
        <w:rPr>
          <w:rFonts w:ascii="Times New Roman" w:hAnsi="仿宋_GB2312" w:eastAsia="仿宋_GB2312"/>
          <w:color w:val="auto"/>
          <w:sz w:val="32"/>
          <w:szCs w:val="32"/>
        </w:rPr>
        <w:t>己内酰胺30万吨</w:t>
      </w:r>
      <w:r>
        <w:rPr>
          <w:rFonts w:hint="eastAsia" w:ascii="Times New Roman" w:hAnsi="仿宋_GB2312" w:eastAsia="仿宋_GB2312"/>
          <w:color w:val="auto"/>
          <w:sz w:val="32"/>
          <w:szCs w:val="32"/>
        </w:rPr>
        <w:t>，聚甲醛8万吨；</w:t>
      </w:r>
      <w:r>
        <w:rPr>
          <w:rFonts w:ascii="Times New Roman" w:hAnsi="仿宋_GB2312" w:eastAsia="仿宋_GB2312"/>
          <w:color w:val="auto"/>
          <w:sz w:val="32"/>
          <w:szCs w:val="32"/>
        </w:rPr>
        <w:t>同时具备高端化工装备制造能力。</w:t>
      </w:r>
    </w:p>
    <w:p>
      <w:pPr>
        <w:keepNext w:val="0"/>
        <w:keepLines w:val="0"/>
        <w:pageBreakBefore w:val="0"/>
        <w:widowControl w:val="0"/>
        <w:kinsoku/>
        <w:wordWrap/>
        <w:overflowPunct/>
        <w:topLinePunct w:val="0"/>
        <w:autoSpaceDE/>
        <w:autoSpaceDN/>
        <w:bidi w:val="0"/>
        <w:spacing w:line="560" w:lineRule="exact"/>
        <w:jc w:val="center"/>
        <w:textAlignment w:val="auto"/>
        <w:rPr>
          <w:rFonts w:ascii="黑体" w:hAnsi="黑体" w:eastAsia="黑体"/>
          <w:bCs/>
          <w:color w:val="auto"/>
          <w:sz w:val="32"/>
          <w:szCs w:val="32"/>
        </w:rPr>
      </w:pPr>
      <w:r>
        <w:rPr>
          <w:rFonts w:hint="eastAsia" w:ascii="黑体" w:hAnsi="黑体" w:eastAsia="黑体"/>
          <w:bCs/>
          <w:color w:val="auto"/>
          <w:sz w:val="32"/>
          <w:szCs w:val="32"/>
        </w:rPr>
        <w:t>山东化工技师学院简介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山东化工技师学院创建于1974年，山东省人力资源和社会保障厅直属管理的国办全日制职业院校。学院占地1000亩，建筑面积20万平米，办学规模1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000人，以培养技师和高级技工为主，同时承担企业在职职工高技能人才培训和技能鉴定任务，集教育教学、科研、技能鉴定、培训于一体的全国最大的化工高技能人才培训基地。学院为国家级高技能人才培训基地、石油和化工行业职业教育与培训全国示范性实训基地、世界技能大赛化学实验室技术项目中国集训基地、人社部一体化教学改革试点牵头院校、山东省化工行业“金蓝领”培训基地、中国石油和化学工业院校文化建设先进单位、山东省级文明单位、山东省就业创业先进单位、山东省技工教育优质学校、山东省技工教育特色名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b w:val="0"/>
          <w:bCs w:val="0"/>
          <w:color w:val="auto"/>
          <w:sz w:val="32"/>
          <w:szCs w:val="32"/>
        </w:rPr>
      </w:pPr>
      <w:r>
        <w:rPr>
          <w:rFonts w:hint="eastAsia" w:ascii="黑体" w:hAnsi="黑体" w:eastAsia="黑体"/>
          <w:b w:val="0"/>
          <w:bCs w:val="0"/>
          <w:color w:val="auto"/>
          <w:sz w:val="32"/>
          <w:szCs w:val="32"/>
        </w:rPr>
        <w:t>一、招生计划</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共计招生</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0人。化工工艺</w:t>
      </w:r>
      <w:r>
        <w:rPr>
          <w:rFonts w:hint="eastAsia" w:ascii="仿宋_GB2312" w:hAnsi="仿宋_GB2312" w:eastAsia="仿宋_GB2312" w:cs="仿宋_GB2312"/>
          <w:color w:val="auto"/>
          <w:sz w:val="32"/>
          <w:szCs w:val="32"/>
          <w:lang w:val="en-US" w:eastAsia="zh-CN"/>
        </w:rPr>
        <w:t>110</w:t>
      </w:r>
      <w:r>
        <w:rPr>
          <w:rFonts w:hint="eastAsia" w:ascii="仿宋_GB2312" w:hAnsi="仿宋_GB2312" w:eastAsia="仿宋_GB2312" w:cs="仿宋_GB2312"/>
          <w:color w:val="auto"/>
          <w:sz w:val="32"/>
          <w:szCs w:val="32"/>
        </w:rPr>
        <w:t>人（其中女生</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人），化工分析30人（其中女生20人）。招生学员纳入山东化工技师学院202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年技校招生计划，注册学籍，按正式在校生管理。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b w:val="0"/>
          <w:bCs w:val="0"/>
          <w:color w:val="auto"/>
          <w:sz w:val="32"/>
          <w:szCs w:val="32"/>
        </w:rPr>
      </w:pPr>
      <w:r>
        <w:rPr>
          <w:rFonts w:hint="eastAsia" w:ascii="黑体" w:hAnsi="黑体" w:eastAsia="黑体"/>
          <w:b w:val="0"/>
          <w:bCs w:val="0"/>
          <w:color w:val="auto"/>
          <w:sz w:val="32"/>
          <w:szCs w:val="32"/>
        </w:rPr>
        <w:t>二、招生条件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olor w:val="auto"/>
          <w:sz w:val="32"/>
          <w:szCs w:val="32"/>
          <w:lang w:val="en-US" w:eastAsia="zh-CN"/>
        </w:rPr>
      </w:pPr>
      <w:bookmarkStart w:id="0" w:name="bookmark13"/>
      <w:r>
        <w:rPr>
          <w:rFonts w:hint="eastAsia" w:ascii="仿宋_GB2312" w:hAnsi="宋体" w:eastAsia="仿宋_GB2312"/>
          <w:color w:val="auto"/>
          <w:sz w:val="32"/>
          <w:szCs w:val="32"/>
          <w:lang w:val="en-US" w:eastAsia="zh-CN"/>
        </w:rPr>
        <w:t>1.年龄18—25周岁，年龄计算截至2024年6月30日（1999年7月1日至2006年6月30日出生）；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olor w:val="auto"/>
          <w:sz w:val="32"/>
          <w:szCs w:val="32"/>
          <w:lang w:val="en-US" w:eastAsia="zh-CN"/>
        </w:rPr>
      </w:pPr>
      <w:r>
        <w:rPr>
          <w:rFonts w:hint="eastAsia" w:ascii="仿宋_GB2312" w:hAnsi="宋体" w:eastAsia="仿宋_GB2312"/>
          <w:color w:val="auto"/>
          <w:sz w:val="32"/>
          <w:szCs w:val="32"/>
          <w:lang w:val="en-US" w:eastAsia="zh-CN"/>
        </w:rPr>
        <w:t>2.具有高中、中技、高职及以上学历；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olor w:val="auto"/>
          <w:sz w:val="32"/>
          <w:szCs w:val="32"/>
          <w:lang w:val="en-US" w:eastAsia="zh-CN"/>
        </w:rPr>
      </w:pPr>
      <w:r>
        <w:rPr>
          <w:rFonts w:hint="eastAsia" w:ascii="仿宋_GB2312" w:hAnsi="宋体" w:eastAsia="仿宋_GB2312"/>
          <w:color w:val="auto"/>
          <w:sz w:val="32"/>
          <w:szCs w:val="32"/>
          <w:lang w:val="en-US" w:eastAsia="zh-CN"/>
        </w:rPr>
        <w:t>3.遵纪守法，品德优良，诚实守信；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olor w:val="auto"/>
          <w:sz w:val="32"/>
          <w:szCs w:val="32"/>
          <w:lang w:val="en-US" w:eastAsia="zh-CN"/>
        </w:rPr>
      </w:pPr>
      <w:r>
        <w:rPr>
          <w:rFonts w:hint="eastAsia" w:ascii="仿宋_GB2312" w:hAnsi="宋体" w:eastAsia="仿宋_GB2312"/>
          <w:color w:val="auto"/>
          <w:sz w:val="32"/>
          <w:szCs w:val="32"/>
          <w:lang w:val="en-US" w:eastAsia="zh-CN"/>
        </w:rPr>
        <w:t>4.身体健康，无纹身，无违法犯罪等不良记录，符合岗位体检标准。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b w:val="0"/>
          <w:bCs w:val="0"/>
          <w:color w:val="auto"/>
          <w:sz w:val="32"/>
          <w:szCs w:val="32"/>
        </w:rPr>
      </w:pPr>
      <w:r>
        <w:rPr>
          <w:rFonts w:hint="eastAsia" w:ascii="黑体" w:hAnsi="黑体" w:eastAsia="黑体"/>
          <w:b w:val="0"/>
          <w:bCs w:val="0"/>
          <w:color w:val="auto"/>
          <w:sz w:val="32"/>
          <w:szCs w:val="32"/>
        </w:rPr>
        <w:t>三、培养方式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1.大专以下学历的录取人员纳入山东化工技师学院202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年技校招生计划，学制三年，在校学习两年，企业实习一年，注册高级技工学籍，按正式在校生管理。</w:t>
      </w:r>
      <w:r>
        <w:rPr>
          <w:rFonts w:hint="eastAsia" w:ascii="仿宋_GB2312" w:hAnsi="仿宋_GB2312" w:eastAsia="仿宋_GB2312" w:cs="仿宋_GB2312"/>
          <w:color w:val="auto"/>
          <w:sz w:val="32"/>
          <w:szCs w:val="32"/>
          <w:lang w:val="en-US" w:eastAsia="zh-CN"/>
        </w:rPr>
        <w:t>兖矿能源</w:t>
      </w:r>
      <w:r>
        <w:rPr>
          <w:rFonts w:hint="eastAsia" w:ascii="仿宋_GB2312" w:hAnsi="仿宋_GB2312" w:eastAsia="仿宋_GB2312" w:cs="仿宋_GB2312"/>
          <w:color w:val="auto"/>
          <w:sz w:val="32"/>
          <w:szCs w:val="32"/>
        </w:rPr>
        <w:t>与山东化工技师学院共同制定培养方案，学习期满</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校企共同对学生进行考核，考核合格，颁发高级技工毕业证、资格证，择优办理录用手续。</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2.大专及以上学历人员可申请参加专项岗前培训，</w:t>
      </w:r>
      <w:r>
        <w:rPr>
          <w:rFonts w:hint="eastAsia" w:ascii="仿宋_GB2312" w:hAnsi="仿宋_GB2312" w:eastAsia="仿宋_GB2312" w:cs="仿宋_GB2312"/>
          <w:color w:val="auto"/>
          <w:sz w:val="32"/>
          <w:szCs w:val="32"/>
          <w:lang w:val="en-US" w:eastAsia="zh-CN"/>
        </w:rPr>
        <w:t>在校学习一年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企业实习半年以上，</w:t>
      </w:r>
      <w:r>
        <w:rPr>
          <w:rFonts w:hint="eastAsia" w:ascii="仿宋_GB2312" w:hAnsi="仿宋_GB2312" w:eastAsia="仿宋_GB2312" w:cs="仿宋_GB2312"/>
          <w:color w:val="auto"/>
          <w:sz w:val="32"/>
          <w:szCs w:val="32"/>
        </w:rPr>
        <w:t>经培训考核合格，择优办理录用手续。</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b w:val="0"/>
          <w:bCs w:val="0"/>
          <w:color w:val="auto"/>
          <w:sz w:val="32"/>
          <w:szCs w:val="32"/>
          <w:lang w:eastAsia="zh-CN"/>
        </w:rPr>
      </w:pPr>
      <w:r>
        <w:rPr>
          <w:rFonts w:hint="eastAsia" w:ascii="黑体" w:hAnsi="黑体" w:eastAsia="黑体"/>
          <w:b w:val="0"/>
          <w:bCs w:val="0"/>
          <w:color w:val="auto"/>
          <w:sz w:val="32"/>
          <w:szCs w:val="32"/>
        </w:rPr>
        <w:t>四、招生</w:t>
      </w:r>
      <w:r>
        <w:rPr>
          <w:rFonts w:hint="eastAsia" w:ascii="黑体" w:hAnsi="黑体" w:eastAsia="黑体"/>
          <w:b w:val="0"/>
          <w:bCs w:val="0"/>
          <w:color w:val="auto"/>
          <w:sz w:val="32"/>
          <w:szCs w:val="32"/>
          <w:lang w:val="en-US" w:eastAsia="zh-CN"/>
        </w:rPr>
        <w:t>流程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黑体" w:eastAsia="楷体_GB2312"/>
          <w:color w:val="auto"/>
          <w:sz w:val="32"/>
          <w:szCs w:val="32"/>
        </w:rPr>
      </w:pP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一</w:t>
      </w: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集中报名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1.报名时间：2024年</w:t>
      </w:r>
      <w:r>
        <w:rPr>
          <w:rFonts w:hint="eastAsia" w:ascii="仿宋_GB2312" w:hAnsi="宋体" w:eastAsia="仿宋_GB2312"/>
          <w:sz w:val="32"/>
          <w:szCs w:val="32"/>
          <w:lang w:eastAsia="zh-CN"/>
        </w:rPr>
        <w:t>6月24日—</w:t>
      </w:r>
      <w:r>
        <w:rPr>
          <w:rFonts w:hint="eastAsia" w:ascii="仿宋_GB2312" w:hAnsi="宋体" w:eastAsia="仿宋_GB2312"/>
          <w:sz w:val="32"/>
          <w:szCs w:val="32"/>
        </w:rPr>
        <w:t>2024年7月</w:t>
      </w:r>
      <w:r>
        <w:rPr>
          <w:rFonts w:hint="eastAsia" w:ascii="仿宋_GB2312" w:hAnsi="宋体" w:eastAsia="仿宋_GB2312"/>
          <w:sz w:val="32"/>
          <w:szCs w:val="32"/>
          <w:lang w:val="en-US" w:eastAsia="zh-CN"/>
        </w:rPr>
        <w:t>15</w:t>
      </w:r>
      <w:r>
        <w:rPr>
          <w:rFonts w:hint="eastAsia" w:ascii="仿宋_GB2312" w:hAnsi="宋体" w:eastAsia="仿宋_GB2312"/>
          <w:sz w:val="32"/>
          <w:szCs w:val="32"/>
        </w:rPr>
        <w:t>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2.报名手续：报名采取网络报名方式，报名人员需准备一寸近期免冠电子照片，填写报名表，并扫描本人身份证、户口本、毕业证（高中应届毕业生需提供高考准考证）等材料，通过点击以下链接或扫描二维码进行报名。</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ascii="仿宋_GB2312" w:hAnsi="宋体" w:eastAsia="仿宋_GB2312"/>
          <w:sz w:val="32"/>
          <w:szCs w:val="32"/>
        </w:rPr>
      </w:pPr>
      <w:r>
        <w:rPr>
          <w:rFonts w:hint="eastAsia" w:ascii="仿宋_GB2312" w:hAnsi="宋体" w:eastAsia="仿宋_GB2312"/>
          <w:sz w:val="32"/>
          <w:szCs w:val="32"/>
        </w:rPr>
        <w:t>报名链接：</w:t>
      </w:r>
      <w:r>
        <w:rPr>
          <w:rFonts w:ascii="仿宋_GB2312" w:hAnsi="宋体" w:eastAsia="仿宋_GB2312"/>
          <w:sz w:val="32"/>
          <w:szCs w:val="32"/>
        </w:rPr>
        <w:t>https://www.sdhgjs.net/edc/formview/hf20h4</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sz w:val="32"/>
          <w:szCs w:val="32"/>
        </w:rPr>
      </w:pPr>
      <w:r>
        <w:rPr>
          <w:rFonts w:ascii="仿宋_GB2312" w:hAnsi="宋体" w:eastAsia="仿宋_GB2312"/>
          <w:sz w:val="32"/>
          <w:szCs w:val="32"/>
        </w:rPr>
        <w:t>2024</w:t>
      </w:r>
      <w:r>
        <w:rPr>
          <w:rFonts w:hint="eastAsia" w:ascii="仿宋_GB2312" w:hAnsi="宋体" w:eastAsia="仿宋_GB2312"/>
          <w:sz w:val="32"/>
          <w:szCs w:val="32"/>
        </w:rPr>
        <w:t>年变招工为招生报名二维码</w:t>
      </w:r>
    </w:p>
    <w:p>
      <w:pPr>
        <w:adjustRightInd w:val="0"/>
        <w:snapToGrid w:val="0"/>
        <w:spacing w:line="360" w:lineRule="auto"/>
        <w:ind w:firstLine="640" w:firstLineChars="200"/>
        <w:jc w:val="center"/>
        <w:rPr>
          <w:rFonts w:hint="eastAsia" w:ascii="仿宋_GB2312" w:hAnsi="宋体" w:eastAsia="仿宋_GB2312"/>
          <w:sz w:val="32"/>
          <w:szCs w:val="32"/>
        </w:rPr>
      </w:pPr>
      <w:r>
        <w:rPr>
          <w:rFonts w:ascii="仿宋_GB2312" w:hAnsi="宋体" w:eastAsia="仿宋_GB2312"/>
          <w:sz w:val="32"/>
          <w:szCs w:val="32"/>
        </w:rPr>
        <w:drawing>
          <wp:inline distT="0" distB="0" distL="0" distR="0">
            <wp:extent cx="2140585" cy="1914525"/>
            <wp:effectExtent l="0" t="0" r="0" b="0"/>
            <wp:docPr id="1" name="图片 1" descr="C:\Users\ml\Documents\WeChat Files\skyeagle_2066\FileStorage\Temp\c58b82a6c8f8acd66728ba31c8b42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ml\Documents\WeChat Files\skyeagle_2066\FileStorage\Temp\c58b82a6c8f8acd66728ba31c8b42c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224807" cy="1989667"/>
                    </a:xfrm>
                    <a:prstGeom prst="rect">
                      <a:avLst/>
                    </a:prstGeom>
                    <a:noFill/>
                    <a:ln>
                      <a:noFill/>
                    </a:ln>
                  </pic:spPr>
                </pic:pic>
              </a:graphicData>
            </a:graphic>
          </wp:inline>
        </w:drawing>
      </w:r>
    </w:p>
    <w:p>
      <w:pPr>
        <w:spacing w:line="560" w:lineRule="exact"/>
        <w:ind w:firstLine="640" w:firstLineChars="200"/>
        <w:rPr>
          <w:rFonts w:ascii="仿宋" w:hAnsi="仿宋" w:eastAsia="仿宋"/>
          <w:color w:val="auto"/>
          <w:sz w:val="32"/>
          <w:szCs w:val="32"/>
        </w:rPr>
      </w:pPr>
      <w:r>
        <w:rPr>
          <w:rFonts w:hint="eastAsia" w:ascii="仿宋_GB2312" w:hAnsi="宋体" w:eastAsia="仿宋_GB2312"/>
          <w:sz w:val="32"/>
          <w:szCs w:val="32"/>
        </w:rPr>
        <w:t>咨询电话：</w:t>
      </w:r>
      <w:r>
        <w:rPr>
          <w:rFonts w:ascii="仿宋" w:hAnsi="仿宋" w:eastAsia="仿宋"/>
          <w:sz w:val="32"/>
          <w:szCs w:val="32"/>
        </w:rPr>
        <w:t>0632-5823966</w:t>
      </w:r>
      <w:r>
        <w:rPr>
          <w:rFonts w:hint="eastAsia" w:ascii="仿宋" w:hAnsi="仿宋" w:eastAsia="仿宋"/>
          <w:sz w:val="32"/>
          <w:szCs w:val="32"/>
          <w:lang w:val="en-US" w:eastAsia="zh-CN"/>
        </w:rPr>
        <w:t xml:space="preserve">  </w:t>
      </w:r>
      <w:r>
        <w:rPr>
          <w:rFonts w:ascii="仿宋" w:hAnsi="仿宋" w:eastAsia="仿宋"/>
          <w:sz w:val="32"/>
          <w:szCs w:val="32"/>
        </w:rPr>
        <w:t>5823956</w:t>
      </w:r>
      <w:r>
        <w:rPr>
          <w:rFonts w:hint="eastAsia" w:ascii="仿宋" w:hAnsi="仿宋" w:eastAsia="仿宋"/>
          <w:sz w:val="32"/>
          <w:szCs w:val="32"/>
          <w:lang w:val="en-US" w:eastAsia="zh-CN"/>
        </w:rPr>
        <w:t xml:space="preserve">  </w:t>
      </w:r>
      <w:r>
        <w:rPr>
          <w:rFonts w:ascii="仿宋" w:hAnsi="仿宋" w:eastAsia="仿宋"/>
          <w:sz w:val="32"/>
          <w:szCs w:val="32"/>
        </w:rPr>
        <w:t>5</w:t>
      </w:r>
      <w:r>
        <w:rPr>
          <w:rFonts w:hint="eastAsia" w:ascii="仿宋" w:hAnsi="仿宋" w:eastAsia="仿宋"/>
          <w:sz w:val="32"/>
          <w:szCs w:val="32"/>
        </w:rPr>
        <w:t>39</w:t>
      </w:r>
      <w:r>
        <w:rPr>
          <w:rFonts w:ascii="仿宋" w:hAnsi="仿宋" w:eastAsia="仿宋"/>
          <w:sz w:val="32"/>
          <w:szCs w:val="32"/>
        </w:rPr>
        <w:t>0166</w:t>
      </w:r>
    </w:p>
    <w:p>
      <w:pPr>
        <w:adjustRightInd w:val="0"/>
        <w:snapToGrid w:val="0"/>
        <w:spacing w:line="560" w:lineRule="exact"/>
        <w:ind w:firstLine="640" w:firstLineChars="200"/>
        <w:rPr>
          <w:rFonts w:hint="eastAsia" w:ascii="楷体_GB2312" w:hAnsi="黑体" w:eastAsia="楷体_GB2312"/>
          <w:color w:val="auto"/>
          <w:sz w:val="32"/>
          <w:szCs w:val="32"/>
          <w:lang w:eastAsia="zh-CN"/>
        </w:rPr>
      </w:pPr>
      <w:r>
        <w:rPr>
          <w:rFonts w:hint="eastAsia" w:ascii="楷体_GB2312" w:hAnsi="黑体" w:eastAsia="楷体_GB2312"/>
          <w:color w:val="auto"/>
          <w:sz w:val="32"/>
          <w:szCs w:val="32"/>
        </w:rPr>
        <w:t>（二）资格</w:t>
      </w:r>
      <w:r>
        <w:rPr>
          <w:rFonts w:hint="eastAsia" w:ascii="楷体_GB2312" w:hAnsi="黑体" w:eastAsia="楷体_GB2312"/>
          <w:color w:val="auto"/>
          <w:sz w:val="32"/>
          <w:szCs w:val="32"/>
          <w:lang w:val="en-US" w:eastAsia="zh-CN"/>
        </w:rPr>
        <w:t>审核</w:t>
      </w:r>
    </w:p>
    <w:p>
      <w:pPr>
        <w:adjustRightInd w:val="0"/>
        <w:snapToGrid w:val="0"/>
        <w:spacing w:line="560" w:lineRule="exact"/>
        <w:ind w:firstLine="640" w:firstLineChars="200"/>
        <w:rPr>
          <w:rFonts w:ascii="仿宋_GB2312" w:hAnsi="宋体" w:eastAsia="仿宋_GB2312"/>
          <w:color w:val="auto"/>
          <w:sz w:val="32"/>
          <w:szCs w:val="32"/>
        </w:rPr>
      </w:pPr>
      <w:r>
        <w:rPr>
          <w:rFonts w:hint="eastAsia" w:ascii="仿宋_GB2312" w:hAnsi="宋体" w:eastAsia="仿宋_GB2312"/>
          <w:color w:val="auto"/>
          <w:sz w:val="32"/>
          <w:szCs w:val="32"/>
        </w:rPr>
        <w:t>1.通过报名资格审核的人员需由本人参加现场资格审核，参加现场资格审核时携带打印的报名表、身份证、户口本、毕业证（高中应届毕业生需提供高考准考证）等相关报名材料原件和复印件，3张一寸近期免冠彩照。</w:t>
      </w:r>
    </w:p>
    <w:p>
      <w:pPr>
        <w:adjustRightInd w:val="0"/>
        <w:snapToGrid w:val="0"/>
        <w:spacing w:line="560" w:lineRule="exact"/>
        <w:ind w:firstLine="640" w:firstLineChars="200"/>
        <w:rPr>
          <w:rFonts w:ascii="仿宋_GB2312" w:hAnsi="宋体" w:eastAsia="仿宋_GB2312"/>
          <w:color w:val="auto"/>
          <w:sz w:val="32"/>
          <w:szCs w:val="32"/>
        </w:rPr>
      </w:pPr>
      <w:r>
        <w:rPr>
          <w:rFonts w:hint="eastAsia" w:ascii="仿宋_GB2312" w:hAnsi="宋体" w:eastAsia="仿宋_GB2312"/>
          <w:color w:val="auto"/>
          <w:sz w:val="32"/>
          <w:szCs w:val="32"/>
        </w:rPr>
        <w:t>2.通过现场资格审核的人员需现场开展体能测试，现场资格审核和体能测试具体时间、地点另行通知。</w:t>
      </w:r>
    </w:p>
    <w:p>
      <w:pPr>
        <w:adjustRightInd w:val="0"/>
        <w:snapToGrid w:val="0"/>
        <w:spacing w:line="560" w:lineRule="exact"/>
        <w:ind w:firstLine="640" w:firstLineChars="200"/>
        <w:rPr>
          <w:rFonts w:ascii="楷体_GB2312" w:hAnsi="黑体" w:eastAsia="楷体_GB2312"/>
          <w:color w:val="auto"/>
          <w:sz w:val="32"/>
          <w:szCs w:val="32"/>
        </w:rPr>
      </w:pP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三</w:t>
      </w: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考试考核</w:t>
      </w:r>
    </w:p>
    <w:p>
      <w:pPr>
        <w:adjustRightInd w:val="0"/>
        <w:snapToGrid w:val="0"/>
        <w:spacing w:line="560" w:lineRule="exact"/>
        <w:ind w:firstLine="640" w:firstLineChars="200"/>
        <w:rPr>
          <w:rFonts w:ascii="仿宋_GB2312" w:hAnsi="宋体" w:eastAsia="仿宋_GB2312"/>
          <w:color w:val="auto"/>
          <w:sz w:val="32"/>
          <w:szCs w:val="32"/>
        </w:rPr>
      </w:pPr>
      <w:r>
        <w:rPr>
          <w:rFonts w:hint="eastAsia" w:ascii="仿宋_GB2312" w:hAnsi="宋体" w:eastAsia="仿宋_GB2312"/>
          <w:color w:val="auto"/>
          <w:sz w:val="32"/>
          <w:szCs w:val="32"/>
        </w:rPr>
        <w:t>通过现场资格审核和</w:t>
      </w:r>
      <w:r>
        <w:rPr>
          <w:rFonts w:ascii="仿宋_GB2312" w:hAnsi="宋体" w:eastAsia="仿宋_GB2312"/>
          <w:color w:val="auto"/>
          <w:sz w:val="32"/>
          <w:szCs w:val="32"/>
        </w:rPr>
        <w:t>体能测试的</w:t>
      </w:r>
      <w:r>
        <w:rPr>
          <w:rFonts w:hint="eastAsia" w:ascii="仿宋_GB2312" w:hAnsi="宋体" w:eastAsia="仿宋_GB2312"/>
          <w:color w:val="auto"/>
          <w:sz w:val="32"/>
          <w:szCs w:val="32"/>
        </w:rPr>
        <w:t>人员进行集中笔试。笔试时间、地点另行通知。</w:t>
      </w:r>
    </w:p>
    <w:p>
      <w:pPr>
        <w:adjustRightInd w:val="0"/>
        <w:snapToGrid w:val="0"/>
        <w:spacing w:line="560" w:lineRule="exact"/>
        <w:ind w:firstLine="640" w:firstLineChars="200"/>
        <w:rPr>
          <w:rFonts w:ascii="楷体_GB2312" w:hAnsi="黑体" w:eastAsia="楷体_GB2312"/>
          <w:color w:val="auto"/>
          <w:sz w:val="32"/>
          <w:szCs w:val="32"/>
        </w:rPr>
      </w:pP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四</w:t>
      </w: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健康体检</w:t>
      </w:r>
    </w:p>
    <w:p>
      <w:pPr>
        <w:adjustRightInd w:val="0"/>
        <w:snapToGrid w:val="0"/>
        <w:spacing w:line="560" w:lineRule="exact"/>
        <w:ind w:firstLine="640" w:firstLineChars="200"/>
        <w:rPr>
          <w:rFonts w:ascii="仿宋_GB2312" w:hAnsi="宋体" w:eastAsia="仿宋_GB2312"/>
          <w:color w:val="auto"/>
          <w:sz w:val="32"/>
          <w:szCs w:val="32"/>
        </w:rPr>
      </w:pPr>
      <w:r>
        <w:rPr>
          <w:rFonts w:hint="eastAsia" w:ascii="仿宋_GB2312" w:hAnsi="宋体" w:eastAsia="仿宋_GB2312"/>
          <w:color w:val="auto"/>
          <w:sz w:val="32"/>
          <w:szCs w:val="32"/>
        </w:rPr>
        <w:t>根据考试成绩确定体检人员名单，按招生岗位体检标准统一组织入学体检。</w:t>
      </w:r>
    </w:p>
    <w:p>
      <w:pPr>
        <w:adjustRightInd w:val="0"/>
        <w:snapToGrid w:val="0"/>
        <w:spacing w:line="560" w:lineRule="exact"/>
        <w:ind w:firstLine="640" w:firstLineChars="200"/>
        <w:rPr>
          <w:rFonts w:ascii="楷体_GB2312" w:hAnsi="黑体" w:eastAsia="楷体_GB2312"/>
          <w:color w:val="auto"/>
          <w:sz w:val="32"/>
          <w:szCs w:val="32"/>
        </w:rPr>
      </w:pP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五</w:t>
      </w:r>
      <w:r>
        <w:rPr>
          <w:rFonts w:hint="eastAsia" w:ascii="楷体_GB2312" w:hAnsi="黑体" w:eastAsia="楷体_GB2312"/>
          <w:color w:val="auto"/>
          <w:sz w:val="32"/>
          <w:szCs w:val="32"/>
          <w:lang w:eastAsia="zh-CN"/>
        </w:rPr>
        <w:t>）</w:t>
      </w:r>
      <w:r>
        <w:rPr>
          <w:rFonts w:hint="eastAsia" w:ascii="楷体_GB2312" w:hAnsi="黑体" w:eastAsia="楷体_GB2312"/>
          <w:color w:val="auto"/>
          <w:sz w:val="32"/>
          <w:szCs w:val="32"/>
        </w:rPr>
        <w:t>录取培养</w:t>
      </w:r>
    </w:p>
    <w:p>
      <w:pPr>
        <w:adjustRightInd w:val="0"/>
        <w:snapToGrid w:val="0"/>
        <w:spacing w:line="560" w:lineRule="exact"/>
        <w:ind w:firstLine="645"/>
        <w:rPr>
          <w:rFonts w:ascii="仿宋_GB2312" w:hAnsi="宋体" w:eastAsia="仿宋_GB2312"/>
          <w:color w:val="auto"/>
          <w:sz w:val="32"/>
          <w:szCs w:val="32"/>
        </w:rPr>
      </w:pPr>
      <w:r>
        <w:rPr>
          <w:rFonts w:hint="eastAsia" w:ascii="仿宋_GB2312" w:hAnsi="宋体" w:eastAsia="仿宋_GB2312"/>
          <w:color w:val="auto"/>
          <w:sz w:val="32"/>
          <w:szCs w:val="32"/>
        </w:rPr>
        <w:t>体检合格，符合岗位要求人员，由</w:t>
      </w:r>
      <w:r>
        <w:rPr>
          <w:rFonts w:hint="eastAsia" w:ascii="仿宋" w:hAnsi="仿宋" w:eastAsia="仿宋" w:cs="仿宋_GB2312"/>
          <w:color w:val="auto"/>
          <w:sz w:val="32"/>
          <w:szCs w:val="32"/>
          <w:shd w:val="clear" w:color="auto" w:fill="FFFFFF"/>
        </w:rPr>
        <w:t>山东化工技师学院</w:t>
      </w:r>
      <w:r>
        <w:rPr>
          <w:rFonts w:hint="eastAsia" w:ascii="仿宋_GB2312" w:hAnsi="宋体" w:eastAsia="仿宋_GB2312"/>
          <w:color w:val="auto"/>
          <w:sz w:val="32"/>
          <w:szCs w:val="32"/>
        </w:rPr>
        <w:t>办理相关手续。</w:t>
      </w:r>
    </w:p>
    <w:p>
      <w:pPr>
        <w:adjustRightInd w:val="0"/>
        <w:snapToGrid w:val="0"/>
        <w:spacing w:line="560" w:lineRule="exact"/>
        <w:ind w:firstLine="640" w:firstLineChars="200"/>
        <w:rPr>
          <w:rFonts w:ascii="黑体" w:hAnsi="黑体" w:eastAsia="黑体"/>
          <w:b w:val="0"/>
          <w:bCs w:val="0"/>
          <w:color w:val="auto"/>
          <w:sz w:val="32"/>
          <w:szCs w:val="32"/>
        </w:rPr>
      </w:pPr>
      <w:r>
        <w:rPr>
          <w:rFonts w:hint="eastAsia" w:ascii="黑体" w:hAnsi="黑体" w:eastAsia="黑体"/>
          <w:b w:val="0"/>
          <w:bCs w:val="0"/>
          <w:color w:val="auto"/>
          <w:sz w:val="32"/>
          <w:szCs w:val="32"/>
        </w:rPr>
        <w:t>五、费用及待遇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学费全免，住宿费800元/年，</w:t>
      </w:r>
      <w:r>
        <w:rPr>
          <w:rFonts w:hint="eastAsia" w:ascii="仿宋_GB2312" w:hAnsi="仿宋_GB2312" w:eastAsia="仿宋_GB2312" w:cs="仿宋_GB2312"/>
          <w:sz w:val="32"/>
          <w:szCs w:val="32"/>
        </w:rPr>
        <w:t>教材费500元/年（多退少补），公寓化物品费300元，工作服350元。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w:t>
      </w:r>
      <w:r>
        <w:rPr>
          <w:rFonts w:hint="eastAsia" w:ascii="仿宋_GB2312" w:hAnsi="仿宋_GB2312" w:eastAsia="仿宋_GB2312" w:cs="仿宋_GB2312"/>
          <w:color w:val="000000"/>
          <w:sz w:val="32"/>
          <w:szCs w:val="32"/>
        </w:rPr>
        <w:t>企业</w:t>
      </w:r>
      <w:r>
        <w:rPr>
          <w:rFonts w:hint="eastAsia" w:ascii="仿宋_GB2312" w:hAnsi="仿宋_GB2312" w:eastAsia="仿宋_GB2312" w:cs="仿宋_GB2312"/>
          <w:sz w:val="32"/>
          <w:szCs w:val="32"/>
        </w:rPr>
        <w:t>实习期间，按照有关规定发放生活费。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完成三年教学计划（在校2年，企业实习1年），经考试、考核合格，按照有关规定颁发毕业证、职业资格证。</w:t>
      </w:r>
    </w:p>
    <w:p>
      <w:pPr>
        <w:spacing w:line="560" w:lineRule="exact"/>
        <w:ind w:firstLine="640" w:firstLineChars="200"/>
        <w:rPr>
          <w:rFonts w:ascii="黑体" w:hAnsi="黑体" w:eastAsia="黑体"/>
          <w:b w:val="0"/>
          <w:bCs w:val="0"/>
          <w:sz w:val="32"/>
          <w:szCs w:val="32"/>
        </w:rPr>
      </w:pPr>
      <w:r>
        <w:rPr>
          <w:rFonts w:hint="eastAsia" w:ascii="黑体" w:hAnsi="黑体" w:eastAsia="黑体"/>
          <w:b w:val="0"/>
          <w:bCs w:val="0"/>
          <w:sz w:val="32"/>
          <w:szCs w:val="32"/>
        </w:rPr>
        <w:t>六、考核录用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订单培养期结束，</w:t>
      </w:r>
      <w:r>
        <w:rPr>
          <w:rFonts w:hint="eastAsia" w:ascii="仿宋_GB2312" w:hAnsi="仿宋_GB2312" w:eastAsia="仿宋_GB2312" w:cs="仿宋_GB2312"/>
          <w:sz w:val="32"/>
          <w:szCs w:val="32"/>
          <w:lang w:val="en-US" w:eastAsia="zh-CN"/>
        </w:rPr>
        <w:t>兖矿能源</w:t>
      </w:r>
      <w:r>
        <w:rPr>
          <w:rFonts w:hint="eastAsia" w:ascii="仿宋_GB2312" w:hAnsi="仿宋_GB2312" w:eastAsia="仿宋_GB2312" w:cs="仿宋_GB2312"/>
          <w:sz w:val="32"/>
          <w:szCs w:val="32"/>
        </w:rPr>
        <w:t>联合山东化工技师学院对订单培养人员进行考核，依据在校理论学习和企业实践实习情况，按照5%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的淘汰率择优留用，办理录用手续，按照专业分配到山东、陕蒙各化工单位，与用工单位签订劳动合同，根据岗位工种确定薪酬待遇，享受“五险两金”、带薪假期等各项福利。劳动合同存续期间原则上不得调整岗位工种。</w:t>
      </w:r>
    </w:p>
    <w:p>
      <w:pPr>
        <w:adjustRightInd w:val="0"/>
        <w:snapToGrid w:val="0"/>
        <w:spacing w:line="560" w:lineRule="exact"/>
        <w:ind w:firstLine="640" w:firstLineChars="200"/>
        <w:rPr>
          <w:rFonts w:ascii="黑体" w:hAnsi="黑体" w:eastAsia="黑体" w:cs="仿宋_GB2312"/>
          <w:b w:val="0"/>
          <w:bCs w:val="0"/>
          <w:kern w:val="0"/>
          <w:sz w:val="32"/>
          <w:szCs w:val="32"/>
          <w:shd w:val="clear" w:color="auto" w:fill="FFFFFF"/>
        </w:rPr>
      </w:pPr>
      <w:r>
        <w:rPr>
          <w:rFonts w:hint="eastAsia" w:ascii="黑体" w:hAnsi="黑体" w:eastAsia="黑体" w:cs="仿宋_GB2312"/>
          <w:b w:val="0"/>
          <w:bCs w:val="0"/>
          <w:kern w:val="0"/>
          <w:sz w:val="32"/>
          <w:szCs w:val="32"/>
          <w:shd w:val="clear" w:color="auto" w:fill="FFFFFF"/>
        </w:rPr>
        <w:t>七、其他说明</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shd w:val="clear" w:color="auto" w:fill="FFFFFF"/>
        </w:rPr>
        <w:t>已参加过山东能源集团及权属单位员工招聘被录取录用的人员不在招聘人员范围。</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2.报名人员在报名时提供虚假资料及冒名考试、体检的，一律取消报名和录取资格，并按照有关法律法规和山东能源集团有关规定严肃追究有关人员责任。</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rPr>
        <w:t>.新生开学时间为202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年9月</w:t>
      </w:r>
      <w:r>
        <w:rPr>
          <w:rFonts w:hint="eastAsia" w:ascii="仿宋_GB2312" w:hAnsi="仿宋_GB2312" w:eastAsia="仿宋_GB2312" w:cs="仿宋_GB2312"/>
          <w:kern w:val="0"/>
          <w:sz w:val="32"/>
          <w:szCs w:val="32"/>
          <w:shd w:val="clear" w:color="auto" w:fill="FFFFFF"/>
          <w:lang w:val="en-US" w:eastAsia="zh-CN"/>
        </w:rPr>
        <w:t>初</w:t>
      </w:r>
      <w:r>
        <w:rPr>
          <w:rFonts w:hint="eastAsia" w:ascii="仿宋_GB2312" w:hAnsi="仿宋_GB2312" w:eastAsia="仿宋_GB2312" w:cs="仿宋_GB2312"/>
          <w:kern w:val="0"/>
          <w:sz w:val="32"/>
          <w:szCs w:val="32"/>
          <w:shd w:val="clear" w:color="auto" w:fill="FFFFFF"/>
        </w:rPr>
        <w:t>（具体时间地点以学院通知为准）</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.本次招生</w:t>
      </w:r>
      <w:r>
        <w:rPr>
          <w:rFonts w:hint="eastAsia" w:ascii="仿宋_GB2312" w:hAnsi="仿宋_GB2312" w:eastAsia="仿宋_GB2312" w:cs="仿宋_GB2312"/>
          <w:sz w:val="32"/>
          <w:szCs w:val="32"/>
        </w:rPr>
        <w:t>不收取任何费用，不委托任何组织和代理及中介机构，山东化工技师学院招生办是指定的唯一招生机构。</w:t>
      </w:r>
    </w:p>
    <w:p>
      <w:pPr>
        <w:tabs>
          <w:tab w:val="left" w:pos="1600"/>
          <w:tab w:val="right" w:pos="8940"/>
        </w:tabs>
        <w:adjustRightInd w:val="0"/>
        <w:snapToGrid w:val="0"/>
        <w:spacing w:line="560" w:lineRule="exact"/>
        <w:ind w:firstLine="640" w:firstLineChars="200"/>
        <w:jc w:val="left"/>
        <w:rPr>
          <w:rFonts w:hint="eastAsia" w:ascii="仿宋_GB2312" w:hAnsi="仿宋_GB2312" w:eastAsia="仿宋_GB2312" w:cs="仿宋_GB2312"/>
          <w:kern w:val="0"/>
          <w:sz w:val="32"/>
          <w:szCs w:val="32"/>
          <w:shd w:val="clear" w:color="FFFFFF" w:fill="FFFFFF"/>
        </w:rPr>
      </w:pPr>
      <w:r>
        <w:rPr>
          <w:rFonts w:hint="eastAsia" w:ascii="仿宋_GB2312" w:hAnsi="仿宋_GB2312" w:eastAsia="仿宋_GB2312" w:cs="仿宋_GB2312"/>
          <w:kern w:val="0"/>
          <w:sz w:val="32"/>
          <w:szCs w:val="32"/>
          <w:shd w:val="clear" w:color="FFFFFF" w:fill="FFFFFF"/>
          <w:lang w:val="en-US" w:eastAsia="zh-CN"/>
        </w:rPr>
        <w:t>5</w:t>
      </w:r>
      <w:r>
        <w:rPr>
          <w:rFonts w:hint="eastAsia" w:ascii="仿宋_GB2312" w:hAnsi="仿宋_GB2312" w:eastAsia="仿宋_GB2312" w:cs="仿宋_GB2312"/>
          <w:kern w:val="0"/>
          <w:sz w:val="32"/>
          <w:szCs w:val="32"/>
          <w:shd w:val="clear" w:color="FFFFFF" w:fill="FFFFFF"/>
        </w:rPr>
        <w:t>.公司保留根据报名情况调整或取消相关计划的权利，并享有最终解释权。</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6.招生简章发布、报名、资格审核、面试、体能测试、笔试、录取结果、体检等环节，请关注兖矿能源、山东化工技师学院官网公告。</w:t>
      </w: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p>
    <w:p>
      <w:pPr>
        <w:adjustRightInd w:val="0"/>
        <w:snapToGrid w:val="0"/>
        <w:spacing w:line="560" w:lineRule="exact"/>
        <w:ind w:right="960" w:firstLine="640" w:firstLineChars="200"/>
        <w:jc w:val="righ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rPr>
        <w:t>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年</w:t>
      </w:r>
      <w:bookmarkEnd w:id="0"/>
      <w:r>
        <w:rPr>
          <w:rFonts w:hint="eastAsia" w:ascii="仿宋_GB2312" w:hAnsi="仿宋_GB2312" w:eastAsia="仿宋_GB2312" w:cs="仿宋_GB2312"/>
          <w:kern w:val="0"/>
          <w:sz w:val="32"/>
          <w:szCs w:val="32"/>
          <w:shd w:val="clear" w:color="auto" w:fill="FFFFFF"/>
          <w:lang w:eastAsia="zh-CN"/>
        </w:rPr>
        <w:t>6月24日</w:t>
      </w:r>
    </w:p>
    <w:p>
      <w:pPr>
        <w:spacing w:line="560" w:lineRule="exact"/>
        <w:rPr>
          <w:rFonts w:hint="eastAsia" w:ascii="仿宋_GB2312" w:hAnsi="仿宋_GB2312" w:eastAsia="仿宋_GB2312" w:cs="仿宋_GB2312"/>
          <w:color w:val="000000"/>
          <w:sz w:val="32"/>
          <w:szCs w:val="32"/>
        </w:rPr>
        <w:sectPr>
          <w:footerReference r:id="rId3" w:type="default"/>
          <w:pgSz w:w="11906" w:h="16838"/>
          <w:pgMar w:top="2098" w:right="1474" w:bottom="1984" w:left="1587" w:header="851" w:footer="992" w:gutter="0"/>
          <w:cols w:space="425" w:num="1"/>
          <w:docGrid w:type="lines" w:linePitch="312" w:charSpace="0"/>
        </w:sectPr>
      </w:pPr>
    </w:p>
    <w:p>
      <w:pPr>
        <w:widowControl/>
        <w:adjustRightInd w:val="0"/>
        <w:snapToGrid w:val="0"/>
        <w:spacing w:line="400" w:lineRule="exact"/>
        <w:jc w:val="center"/>
        <w:rPr>
          <w:rFonts w:hint="eastAsia" w:ascii="方正小标宋简体" w:hAnsi="方正小标宋简体" w:eastAsia="方正小标宋简体" w:cs="方正小标宋简体"/>
          <w:b w:val="0"/>
          <w:bCs w:val="0"/>
          <w:sz w:val="36"/>
          <w:szCs w:val="36"/>
        </w:rPr>
      </w:pPr>
      <w:bookmarkStart w:id="1" w:name="_GoBack"/>
      <w:r>
        <w:rPr>
          <w:rFonts w:hint="eastAsia" w:ascii="方正小标宋简体" w:hAnsi="方正小标宋简体" w:eastAsia="方正小标宋简体" w:cs="方正小标宋简体"/>
          <w:b w:val="0"/>
          <w:bCs w:val="0"/>
          <w:sz w:val="36"/>
          <w:szCs w:val="36"/>
        </w:rPr>
        <w:t>兖矿能源集团股份有限公司</w:t>
      </w:r>
    </w:p>
    <w:p>
      <w:pPr>
        <w:widowControl/>
        <w:adjustRightInd w:val="0"/>
        <w:snapToGrid w:val="0"/>
        <w:spacing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202</w:t>
      </w:r>
      <w:r>
        <w:rPr>
          <w:rFonts w:hint="eastAsia" w:ascii="方正小标宋简体" w:hAnsi="方正小标宋简体" w:eastAsia="方正小标宋简体" w:cs="方正小标宋简体"/>
          <w:b w:val="0"/>
          <w:bCs w:val="0"/>
          <w:sz w:val="36"/>
          <w:szCs w:val="36"/>
          <w:lang w:val="en-US" w:eastAsia="zh-CN"/>
        </w:rPr>
        <w:t>4</w:t>
      </w:r>
      <w:r>
        <w:rPr>
          <w:rFonts w:hint="eastAsia" w:ascii="方正小标宋简体" w:hAnsi="方正小标宋简体" w:eastAsia="方正小标宋简体" w:cs="方正小标宋简体"/>
          <w:b w:val="0"/>
          <w:bCs w:val="0"/>
          <w:sz w:val="36"/>
          <w:szCs w:val="36"/>
        </w:rPr>
        <w:t>年定向委培考生报名登记表</w:t>
      </w:r>
    </w:p>
    <w:bookmarkEnd w:id="1"/>
    <w:p>
      <w:pPr>
        <w:widowControl/>
        <w:adjustRightInd w:val="0"/>
        <w:snapToGrid w:val="0"/>
        <w:spacing w:line="360" w:lineRule="exact"/>
        <w:jc w:val="left"/>
        <w:rPr>
          <w:rFonts w:ascii="华文仿宋" w:hAnsi="华文仿宋" w:eastAsia="华文仿宋" w:cs="华文仿宋"/>
        </w:rPr>
      </w:pPr>
      <w:r>
        <w:rPr>
          <w:rFonts w:hint="eastAsia" w:ascii="华文仿宋" w:hAnsi="华文仿宋" w:eastAsia="华文仿宋" w:cs="华文仿宋"/>
        </w:rPr>
        <w:t xml:space="preserve">                                              时间：                                                               </w:t>
      </w:r>
    </w:p>
    <w:tbl>
      <w:tblPr>
        <w:tblStyle w:val="1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119"/>
        <w:gridCol w:w="165"/>
        <w:gridCol w:w="943"/>
        <w:gridCol w:w="661"/>
        <w:gridCol w:w="152"/>
        <w:gridCol w:w="640"/>
        <w:gridCol w:w="640"/>
        <w:gridCol w:w="1120"/>
        <w:gridCol w:w="1120"/>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姓名</w:t>
            </w:r>
          </w:p>
        </w:tc>
        <w:tc>
          <w:tcPr>
            <w:tcW w:w="1119" w:type="dxa"/>
            <w:vAlign w:val="center"/>
          </w:tcPr>
          <w:p>
            <w:pPr>
              <w:widowControl/>
              <w:adjustRightInd w:val="0"/>
              <w:snapToGrid w:val="0"/>
              <w:spacing w:line="240" w:lineRule="exact"/>
              <w:jc w:val="center"/>
              <w:rPr>
                <w:rFonts w:ascii="华文仿宋" w:hAnsi="华文仿宋" w:eastAsia="华文仿宋" w:cs="华文仿宋"/>
              </w:rPr>
            </w:pPr>
          </w:p>
        </w:tc>
        <w:tc>
          <w:tcPr>
            <w:tcW w:w="1108"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性别</w:t>
            </w:r>
          </w:p>
        </w:tc>
        <w:tc>
          <w:tcPr>
            <w:tcW w:w="1453" w:type="dxa"/>
            <w:gridSpan w:val="3"/>
            <w:vAlign w:val="center"/>
          </w:tcPr>
          <w:p>
            <w:pPr>
              <w:widowControl/>
              <w:adjustRightInd w:val="0"/>
              <w:snapToGrid w:val="0"/>
              <w:spacing w:line="240" w:lineRule="exact"/>
              <w:jc w:val="center"/>
              <w:rPr>
                <w:rFonts w:ascii="华文仿宋" w:hAnsi="华文仿宋" w:eastAsia="华文仿宋" w:cs="华文仿宋"/>
              </w:rPr>
            </w:pPr>
          </w:p>
        </w:tc>
        <w:tc>
          <w:tcPr>
            <w:tcW w:w="1760"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民族</w:t>
            </w:r>
          </w:p>
        </w:tc>
        <w:tc>
          <w:tcPr>
            <w:tcW w:w="1120" w:type="dxa"/>
            <w:vAlign w:val="center"/>
          </w:tcPr>
          <w:p>
            <w:pPr>
              <w:widowControl/>
              <w:adjustRightInd w:val="0"/>
              <w:snapToGrid w:val="0"/>
              <w:spacing w:line="240" w:lineRule="exact"/>
              <w:jc w:val="center"/>
              <w:rPr>
                <w:rFonts w:ascii="华文仿宋" w:hAnsi="华文仿宋" w:eastAsia="华文仿宋" w:cs="华文仿宋"/>
              </w:rPr>
            </w:pPr>
          </w:p>
        </w:tc>
        <w:tc>
          <w:tcPr>
            <w:tcW w:w="1833" w:type="dxa"/>
            <w:vMerge w:val="restart"/>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贴</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一</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寸</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照</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出生年月</w:t>
            </w:r>
          </w:p>
        </w:tc>
        <w:tc>
          <w:tcPr>
            <w:tcW w:w="2227" w:type="dxa"/>
            <w:gridSpan w:val="3"/>
            <w:vAlign w:val="center"/>
          </w:tcPr>
          <w:p>
            <w:pPr>
              <w:widowControl/>
              <w:adjustRightInd w:val="0"/>
              <w:snapToGrid w:val="0"/>
              <w:spacing w:line="240" w:lineRule="exact"/>
              <w:jc w:val="center"/>
              <w:rPr>
                <w:rFonts w:ascii="华文仿宋" w:hAnsi="华文仿宋" w:eastAsia="华文仿宋" w:cs="华文仿宋"/>
              </w:rPr>
            </w:pPr>
          </w:p>
        </w:tc>
        <w:tc>
          <w:tcPr>
            <w:tcW w:w="813"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政治面貌</w:t>
            </w:r>
          </w:p>
        </w:tc>
        <w:tc>
          <w:tcPr>
            <w:tcW w:w="1280" w:type="dxa"/>
            <w:gridSpan w:val="2"/>
            <w:vAlign w:val="center"/>
          </w:tcPr>
          <w:p>
            <w:pPr>
              <w:widowControl/>
              <w:adjustRightInd w:val="0"/>
              <w:snapToGrid w:val="0"/>
              <w:spacing w:line="240" w:lineRule="exact"/>
              <w:jc w:val="center"/>
              <w:rPr>
                <w:rFonts w:ascii="华文仿宋" w:hAnsi="华文仿宋" w:eastAsia="华文仿宋" w:cs="华文仿宋"/>
              </w:rPr>
            </w:pPr>
          </w:p>
        </w:tc>
        <w:tc>
          <w:tcPr>
            <w:tcW w:w="1120"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户口性质</w:t>
            </w:r>
          </w:p>
        </w:tc>
        <w:tc>
          <w:tcPr>
            <w:tcW w:w="1120" w:type="dxa"/>
            <w:vAlign w:val="center"/>
          </w:tcPr>
          <w:p>
            <w:pPr>
              <w:widowControl/>
              <w:adjustRightInd w:val="0"/>
              <w:snapToGrid w:val="0"/>
              <w:spacing w:line="240" w:lineRule="exact"/>
              <w:jc w:val="center"/>
              <w:rPr>
                <w:rFonts w:ascii="华文仿宋" w:hAnsi="华文仿宋" w:eastAsia="华文仿宋" w:cs="华文仿宋"/>
              </w:rPr>
            </w:pPr>
          </w:p>
        </w:tc>
        <w:tc>
          <w:tcPr>
            <w:tcW w:w="1833" w:type="dxa"/>
            <w:vMerge w:val="continue"/>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籍贯</w:t>
            </w:r>
          </w:p>
        </w:tc>
        <w:tc>
          <w:tcPr>
            <w:tcW w:w="2227" w:type="dxa"/>
            <w:gridSpan w:val="3"/>
            <w:vAlign w:val="center"/>
          </w:tcPr>
          <w:p>
            <w:pPr>
              <w:widowControl/>
              <w:adjustRightInd w:val="0"/>
              <w:snapToGrid w:val="0"/>
              <w:spacing w:line="240" w:lineRule="exact"/>
              <w:jc w:val="center"/>
              <w:rPr>
                <w:rFonts w:ascii="华文仿宋" w:hAnsi="华文仿宋" w:eastAsia="华文仿宋" w:cs="华文仿宋"/>
              </w:rPr>
            </w:pPr>
          </w:p>
        </w:tc>
        <w:tc>
          <w:tcPr>
            <w:tcW w:w="1453" w:type="dxa"/>
            <w:gridSpan w:val="3"/>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户口</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所在地</w:t>
            </w:r>
          </w:p>
        </w:tc>
        <w:tc>
          <w:tcPr>
            <w:tcW w:w="2880" w:type="dxa"/>
            <w:gridSpan w:val="3"/>
            <w:vAlign w:val="center"/>
          </w:tcPr>
          <w:p>
            <w:pPr>
              <w:widowControl/>
              <w:adjustRightInd w:val="0"/>
              <w:snapToGrid w:val="0"/>
              <w:spacing w:line="240" w:lineRule="exact"/>
              <w:jc w:val="center"/>
              <w:rPr>
                <w:rFonts w:ascii="华文仿宋" w:hAnsi="华文仿宋" w:eastAsia="华文仿宋" w:cs="华文仿宋"/>
              </w:rPr>
            </w:pPr>
          </w:p>
        </w:tc>
        <w:tc>
          <w:tcPr>
            <w:tcW w:w="1833" w:type="dxa"/>
            <w:vMerge w:val="continue"/>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最高学历</w:t>
            </w:r>
          </w:p>
        </w:tc>
        <w:tc>
          <w:tcPr>
            <w:tcW w:w="1119" w:type="dxa"/>
            <w:vAlign w:val="center"/>
          </w:tcPr>
          <w:p>
            <w:pPr>
              <w:widowControl/>
              <w:adjustRightInd w:val="0"/>
              <w:snapToGrid w:val="0"/>
              <w:spacing w:line="240" w:lineRule="exact"/>
              <w:jc w:val="center"/>
              <w:rPr>
                <w:rFonts w:ascii="华文仿宋" w:hAnsi="华文仿宋" w:eastAsia="华文仿宋" w:cs="华文仿宋"/>
              </w:rPr>
            </w:pPr>
          </w:p>
        </w:tc>
        <w:tc>
          <w:tcPr>
            <w:tcW w:w="1108"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毕业院校及专业</w:t>
            </w:r>
          </w:p>
        </w:tc>
        <w:tc>
          <w:tcPr>
            <w:tcW w:w="2093" w:type="dxa"/>
            <w:gridSpan w:val="4"/>
            <w:vAlign w:val="center"/>
          </w:tcPr>
          <w:p>
            <w:pPr>
              <w:widowControl/>
              <w:adjustRightInd w:val="0"/>
              <w:snapToGrid w:val="0"/>
              <w:spacing w:line="240" w:lineRule="exact"/>
              <w:jc w:val="center"/>
              <w:rPr>
                <w:rFonts w:ascii="华文仿宋" w:hAnsi="华文仿宋" w:eastAsia="华文仿宋" w:cs="华文仿宋"/>
              </w:rPr>
            </w:pPr>
          </w:p>
        </w:tc>
        <w:tc>
          <w:tcPr>
            <w:tcW w:w="1120"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毕业</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时间</w:t>
            </w:r>
          </w:p>
        </w:tc>
        <w:tc>
          <w:tcPr>
            <w:tcW w:w="1120" w:type="dxa"/>
            <w:vAlign w:val="center"/>
          </w:tcPr>
          <w:p>
            <w:pPr>
              <w:widowControl/>
              <w:adjustRightInd w:val="0"/>
              <w:snapToGrid w:val="0"/>
              <w:spacing w:line="240" w:lineRule="exact"/>
              <w:jc w:val="center"/>
              <w:rPr>
                <w:rFonts w:ascii="华文仿宋" w:hAnsi="华文仿宋" w:eastAsia="华文仿宋" w:cs="华文仿宋"/>
              </w:rPr>
            </w:pPr>
          </w:p>
        </w:tc>
        <w:tc>
          <w:tcPr>
            <w:tcW w:w="1833" w:type="dxa"/>
            <w:vMerge w:val="continue"/>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身份证号</w:t>
            </w:r>
          </w:p>
        </w:tc>
        <w:tc>
          <w:tcPr>
            <w:tcW w:w="4320" w:type="dxa"/>
            <w:gridSpan w:val="7"/>
            <w:vAlign w:val="center"/>
          </w:tcPr>
          <w:p>
            <w:pPr>
              <w:widowControl/>
              <w:adjustRightInd w:val="0"/>
              <w:snapToGrid w:val="0"/>
              <w:spacing w:line="240" w:lineRule="exact"/>
              <w:jc w:val="center"/>
              <w:rPr>
                <w:rFonts w:ascii="华文仿宋" w:hAnsi="华文仿宋" w:eastAsia="华文仿宋" w:cs="华文仿宋"/>
              </w:rPr>
            </w:pPr>
          </w:p>
        </w:tc>
        <w:tc>
          <w:tcPr>
            <w:tcW w:w="1120"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既往</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病史</w:t>
            </w:r>
          </w:p>
        </w:tc>
        <w:tc>
          <w:tcPr>
            <w:tcW w:w="2953"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有（          ）无（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通讯地址</w:t>
            </w:r>
          </w:p>
        </w:tc>
        <w:tc>
          <w:tcPr>
            <w:tcW w:w="4320" w:type="dxa"/>
            <w:gridSpan w:val="7"/>
            <w:vAlign w:val="center"/>
          </w:tcPr>
          <w:p>
            <w:pPr>
              <w:widowControl/>
              <w:adjustRightInd w:val="0"/>
              <w:snapToGrid w:val="0"/>
              <w:spacing w:line="240" w:lineRule="exact"/>
              <w:jc w:val="center"/>
              <w:rPr>
                <w:rFonts w:ascii="华文仿宋" w:hAnsi="华文仿宋" w:eastAsia="华文仿宋" w:cs="华文仿宋"/>
              </w:rPr>
            </w:pPr>
          </w:p>
        </w:tc>
        <w:tc>
          <w:tcPr>
            <w:tcW w:w="1120"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联系</w:t>
            </w:r>
          </w:p>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电话</w:t>
            </w:r>
          </w:p>
        </w:tc>
        <w:tc>
          <w:tcPr>
            <w:tcW w:w="2953" w:type="dxa"/>
            <w:gridSpan w:val="2"/>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restart"/>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报考志愿</w:t>
            </w:r>
          </w:p>
        </w:tc>
        <w:tc>
          <w:tcPr>
            <w:tcW w:w="2888" w:type="dxa"/>
            <w:gridSpan w:val="4"/>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志愿</w:t>
            </w:r>
          </w:p>
        </w:tc>
        <w:tc>
          <w:tcPr>
            <w:tcW w:w="5505" w:type="dxa"/>
            <w:gridSpan w:val="6"/>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rPr>
            </w:pPr>
          </w:p>
        </w:tc>
        <w:tc>
          <w:tcPr>
            <w:tcW w:w="2888" w:type="dxa"/>
            <w:gridSpan w:val="4"/>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第一志愿</w:t>
            </w:r>
          </w:p>
        </w:tc>
        <w:tc>
          <w:tcPr>
            <w:tcW w:w="5505" w:type="dxa"/>
            <w:gridSpan w:val="6"/>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rPr>
            </w:pPr>
          </w:p>
        </w:tc>
        <w:tc>
          <w:tcPr>
            <w:tcW w:w="8393" w:type="dxa"/>
            <w:gridSpan w:val="10"/>
            <w:vAlign w:val="center"/>
          </w:tcPr>
          <w:p>
            <w:pPr>
              <w:widowControl/>
              <w:adjustRightInd w:val="0"/>
              <w:snapToGrid w:val="0"/>
              <w:spacing w:line="300" w:lineRule="exact"/>
              <w:jc w:val="center"/>
              <w:rPr>
                <w:rFonts w:ascii="华文仿宋" w:hAnsi="华文仿宋" w:eastAsia="华文仿宋" w:cs="华文仿宋"/>
              </w:rPr>
            </w:pPr>
            <w:r>
              <w:rPr>
                <w:rFonts w:hint="eastAsia" w:ascii="黑体" w:hAnsi="黑体" w:eastAsia="黑体" w:cs="黑体"/>
                <w:sz w:val="28"/>
                <w:szCs w:val="28"/>
              </w:rPr>
              <w:t xml:space="preserve">是否服从调剂 </w:t>
            </w:r>
            <w:r>
              <w:rPr>
                <w:rFonts w:hint="eastAsia" w:ascii="华文仿宋" w:hAnsi="华文仿宋" w:eastAsia="华文仿宋" w:cs="华文仿宋"/>
              </w:rPr>
              <w:t xml:space="preserve">     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rPr>
            </w:pPr>
          </w:p>
        </w:tc>
        <w:tc>
          <w:tcPr>
            <w:tcW w:w="8393" w:type="dxa"/>
            <w:gridSpan w:val="10"/>
            <w:vAlign w:val="center"/>
          </w:tcPr>
          <w:p>
            <w:pPr>
              <w:widowControl/>
              <w:adjustRightInd w:val="0"/>
              <w:snapToGrid w:val="0"/>
              <w:spacing w:line="240" w:lineRule="exact"/>
              <w:rPr>
                <w:rFonts w:ascii="华文仿宋" w:hAnsi="华文仿宋" w:eastAsia="华文仿宋" w:cs="华文仿宋"/>
              </w:rPr>
            </w:pPr>
            <w:r>
              <w:rPr>
                <w:rFonts w:hint="eastAsia" w:ascii="华文仿宋" w:hAnsi="华文仿宋" w:eastAsia="华文仿宋" w:cs="华文仿宋"/>
              </w:rPr>
              <w:t>1.调剂是指优先从本公司内部专业间调剂，内部调剂未录取的可申请参加其他公司的空缺计划调剂。</w:t>
            </w:r>
          </w:p>
          <w:p>
            <w:pPr>
              <w:widowControl/>
              <w:adjustRightInd w:val="0"/>
              <w:snapToGrid w:val="0"/>
              <w:spacing w:line="240" w:lineRule="exact"/>
              <w:rPr>
                <w:rFonts w:ascii="华文仿宋" w:hAnsi="华文仿宋" w:eastAsia="华文仿宋" w:cs="华文仿宋"/>
              </w:rPr>
            </w:pPr>
            <w:r>
              <w:rPr>
                <w:rFonts w:hint="eastAsia" w:ascii="华文仿宋" w:hAnsi="华文仿宋" w:eastAsia="华文仿宋" w:cs="华文仿宋"/>
              </w:rPr>
              <w:t>2.录取时以本人填报的志愿优先录取，当第一志愿未成功录取，本公司内部其他专业未录满时，选择“服从调剂”的考生可按照考试成绩排序调剂到其他专业，专业录满为止。</w:t>
            </w:r>
          </w:p>
          <w:p>
            <w:pPr>
              <w:widowControl/>
              <w:adjustRightInd w:val="0"/>
              <w:snapToGrid w:val="0"/>
              <w:spacing w:line="240" w:lineRule="exact"/>
              <w:rPr>
                <w:rFonts w:ascii="华文仿宋" w:hAnsi="华文仿宋" w:eastAsia="华文仿宋" w:cs="华文仿宋"/>
              </w:rPr>
            </w:pPr>
            <w:r>
              <w:rPr>
                <w:rFonts w:hint="eastAsia" w:ascii="华文仿宋" w:hAnsi="华文仿宋" w:eastAsia="华文仿宋" w:cs="华文仿宋"/>
              </w:rPr>
              <w:t>3.选择“不服从调剂”的考生，本人志愿未成功录取时，将不再调剂到其他专业。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restart"/>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家庭主要成员</w:t>
            </w:r>
          </w:p>
        </w:tc>
        <w:tc>
          <w:tcPr>
            <w:tcW w:w="1284"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称谓</w:t>
            </w:r>
          </w:p>
        </w:tc>
        <w:tc>
          <w:tcPr>
            <w:tcW w:w="1604" w:type="dxa"/>
            <w:gridSpan w:val="2"/>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姓名</w:t>
            </w:r>
          </w:p>
        </w:tc>
        <w:tc>
          <w:tcPr>
            <w:tcW w:w="3672" w:type="dxa"/>
            <w:gridSpan w:val="5"/>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工作单位</w:t>
            </w:r>
          </w:p>
        </w:tc>
        <w:tc>
          <w:tcPr>
            <w:tcW w:w="1833" w:type="dxa"/>
            <w:vAlign w:val="center"/>
          </w:tcPr>
          <w:p>
            <w:pPr>
              <w:widowControl/>
              <w:adjustRightInd w:val="0"/>
              <w:snapToGrid w:val="0"/>
              <w:spacing w:line="240" w:lineRule="exact"/>
              <w:jc w:val="center"/>
              <w:rPr>
                <w:rFonts w:ascii="华文仿宋" w:hAnsi="华文仿宋" w:eastAsia="华文仿宋" w:cs="华文仿宋"/>
              </w:rPr>
            </w:pPr>
            <w:r>
              <w:rPr>
                <w:rFonts w:hint="eastAsia" w:ascii="华文仿宋" w:hAnsi="华文仿宋" w:eastAsia="华文仿宋" w:cs="华文仿宋"/>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color w:val="FF0000"/>
              </w:rPr>
            </w:pPr>
          </w:p>
        </w:tc>
        <w:tc>
          <w:tcPr>
            <w:tcW w:w="1284" w:type="dxa"/>
            <w:gridSpan w:val="2"/>
            <w:vAlign w:val="center"/>
          </w:tcPr>
          <w:p>
            <w:pPr>
              <w:widowControl/>
              <w:adjustRightInd w:val="0"/>
              <w:snapToGrid w:val="0"/>
              <w:spacing w:line="240" w:lineRule="exact"/>
              <w:jc w:val="center"/>
              <w:rPr>
                <w:rFonts w:ascii="华文仿宋" w:hAnsi="华文仿宋" w:eastAsia="华文仿宋" w:cs="华文仿宋"/>
                <w:color w:val="FF0000"/>
              </w:rPr>
            </w:pPr>
          </w:p>
        </w:tc>
        <w:tc>
          <w:tcPr>
            <w:tcW w:w="1604" w:type="dxa"/>
            <w:gridSpan w:val="2"/>
            <w:vAlign w:val="center"/>
          </w:tcPr>
          <w:p>
            <w:pPr>
              <w:widowControl/>
              <w:adjustRightInd w:val="0"/>
              <w:snapToGrid w:val="0"/>
              <w:spacing w:line="240" w:lineRule="exact"/>
              <w:jc w:val="center"/>
              <w:rPr>
                <w:rFonts w:ascii="华文仿宋" w:hAnsi="华文仿宋" w:eastAsia="华文仿宋" w:cs="华文仿宋"/>
                <w:color w:val="FF0000"/>
              </w:rPr>
            </w:pPr>
          </w:p>
        </w:tc>
        <w:tc>
          <w:tcPr>
            <w:tcW w:w="3672" w:type="dxa"/>
            <w:gridSpan w:val="5"/>
            <w:vAlign w:val="center"/>
          </w:tcPr>
          <w:p>
            <w:pPr>
              <w:widowControl/>
              <w:adjustRightInd w:val="0"/>
              <w:snapToGrid w:val="0"/>
              <w:spacing w:line="240" w:lineRule="exact"/>
              <w:jc w:val="center"/>
              <w:rPr>
                <w:rFonts w:ascii="华文仿宋" w:hAnsi="华文仿宋" w:eastAsia="华文仿宋" w:cs="华文仿宋"/>
                <w:color w:val="FF0000"/>
              </w:rPr>
            </w:pPr>
          </w:p>
        </w:tc>
        <w:tc>
          <w:tcPr>
            <w:tcW w:w="1833" w:type="dxa"/>
            <w:vAlign w:val="center"/>
          </w:tcPr>
          <w:p>
            <w:pPr>
              <w:widowControl/>
              <w:adjustRightInd w:val="0"/>
              <w:snapToGrid w:val="0"/>
              <w:spacing w:line="240" w:lineRule="exact"/>
              <w:jc w:val="center"/>
              <w:rPr>
                <w:rFonts w:ascii="华文仿宋" w:hAnsi="华文仿宋" w:eastAsia="华文仿宋" w:cs="华文仿宋"/>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color w:val="FF0000"/>
              </w:rPr>
            </w:pPr>
          </w:p>
        </w:tc>
        <w:tc>
          <w:tcPr>
            <w:tcW w:w="1284" w:type="dxa"/>
            <w:gridSpan w:val="2"/>
            <w:vAlign w:val="center"/>
          </w:tcPr>
          <w:p>
            <w:pPr>
              <w:widowControl/>
              <w:adjustRightInd w:val="0"/>
              <w:snapToGrid w:val="0"/>
              <w:spacing w:line="240" w:lineRule="exact"/>
              <w:jc w:val="center"/>
              <w:rPr>
                <w:rFonts w:ascii="华文仿宋" w:hAnsi="华文仿宋" w:eastAsia="华文仿宋" w:cs="华文仿宋"/>
                <w:color w:val="FF0000"/>
              </w:rPr>
            </w:pPr>
          </w:p>
        </w:tc>
        <w:tc>
          <w:tcPr>
            <w:tcW w:w="1604" w:type="dxa"/>
            <w:gridSpan w:val="2"/>
            <w:vAlign w:val="center"/>
          </w:tcPr>
          <w:p>
            <w:pPr>
              <w:widowControl/>
              <w:adjustRightInd w:val="0"/>
              <w:snapToGrid w:val="0"/>
              <w:spacing w:line="240" w:lineRule="exact"/>
              <w:jc w:val="center"/>
              <w:rPr>
                <w:rFonts w:ascii="华文仿宋" w:hAnsi="华文仿宋" w:eastAsia="华文仿宋" w:cs="华文仿宋"/>
                <w:color w:val="FF0000"/>
              </w:rPr>
            </w:pPr>
          </w:p>
        </w:tc>
        <w:tc>
          <w:tcPr>
            <w:tcW w:w="3672" w:type="dxa"/>
            <w:gridSpan w:val="5"/>
            <w:vAlign w:val="center"/>
          </w:tcPr>
          <w:p>
            <w:pPr>
              <w:widowControl/>
              <w:adjustRightInd w:val="0"/>
              <w:snapToGrid w:val="0"/>
              <w:spacing w:line="240" w:lineRule="exact"/>
              <w:jc w:val="center"/>
              <w:rPr>
                <w:rFonts w:ascii="华文仿宋" w:hAnsi="华文仿宋" w:eastAsia="华文仿宋" w:cs="华文仿宋"/>
                <w:color w:val="FF0000"/>
              </w:rPr>
            </w:pPr>
          </w:p>
        </w:tc>
        <w:tc>
          <w:tcPr>
            <w:tcW w:w="1833" w:type="dxa"/>
            <w:vAlign w:val="center"/>
          </w:tcPr>
          <w:p>
            <w:pPr>
              <w:widowControl/>
              <w:adjustRightInd w:val="0"/>
              <w:snapToGrid w:val="0"/>
              <w:spacing w:line="240" w:lineRule="exact"/>
              <w:jc w:val="center"/>
              <w:rPr>
                <w:rFonts w:ascii="华文仿宋" w:hAnsi="华文仿宋" w:eastAsia="华文仿宋" w:cs="华文仿宋"/>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rPr>
            </w:pPr>
          </w:p>
        </w:tc>
        <w:tc>
          <w:tcPr>
            <w:tcW w:w="1284" w:type="dxa"/>
            <w:gridSpan w:val="2"/>
            <w:vAlign w:val="center"/>
          </w:tcPr>
          <w:p>
            <w:pPr>
              <w:widowControl/>
              <w:adjustRightInd w:val="0"/>
              <w:snapToGrid w:val="0"/>
              <w:spacing w:line="240" w:lineRule="exact"/>
              <w:jc w:val="center"/>
              <w:rPr>
                <w:rFonts w:ascii="华文仿宋" w:hAnsi="华文仿宋" w:eastAsia="华文仿宋" w:cs="华文仿宋"/>
              </w:rPr>
            </w:pPr>
          </w:p>
        </w:tc>
        <w:tc>
          <w:tcPr>
            <w:tcW w:w="1604" w:type="dxa"/>
            <w:gridSpan w:val="2"/>
            <w:vAlign w:val="center"/>
          </w:tcPr>
          <w:p>
            <w:pPr>
              <w:widowControl/>
              <w:adjustRightInd w:val="0"/>
              <w:snapToGrid w:val="0"/>
              <w:spacing w:line="240" w:lineRule="exact"/>
              <w:jc w:val="center"/>
              <w:rPr>
                <w:rFonts w:ascii="华文仿宋" w:hAnsi="华文仿宋" w:eastAsia="华文仿宋" w:cs="华文仿宋"/>
              </w:rPr>
            </w:pPr>
          </w:p>
        </w:tc>
        <w:tc>
          <w:tcPr>
            <w:tcW w:w="3672" w:type="dxa"/>
            <w:gridSpan w:val="5"/>
            <w:vAlign w:val="center"/>
          </w:tcPr>
          <w:p>
            <w:pPr>
              <w:widowControl/>
              <w:adjustRightInd w:val="0"/>
              <w:snapToGrid w:val="0"/>
              <w:spacing w:line="240" w:lineRule="exact"/>
              <w:jc w:val="center"/>
              <w:rPr>
                <w:rFonts w:ascii="华文仿宋" w:hAnsi="华文仿宋" w:eastAsia="华文仿宋" w:cs="华文仿宋"/>
              </w:rPr>
            </w:pPr>
          </w:p>
        </w:tc>
        <w:tc>
          <w:tcPr>
            <w:tcW w:w="1833" w:type="dxa"/>
            <w:vAlign w:val="center"/>
          </w:tcPr>
          <w:p>
            <w:pPr>
              <w:widowControl/>
              <w:adjustRightInd w:val="0"/>
              <w:snapToGrid w:val="0"/>
              <w:spacing w:line="240" w:lineRule="exact"/>
              <w:jc w:val="center"/>
              <w:rPr>
                <w:rFonts w:ascii="华文仿宋" w:hAnsi="华文仿宋" w:eastAsia="华文仿宋" w:cs="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5" w:type="dxa"/>
            <w:vMerge w:val="continue"/>
            <w:vAlign w:val="center"/>
          </w:tcPr>
          <w:p>
            <w:pPr>
              <w:widowControl/>
              <w:adjustRightInd w:val="0"/>
              <w:snapToGrid w:val="0"/>
              <w:spacing w:line="240" w:lineRule="exact"/>
              <w:jc w:val="center"/>
              <w:rPr>
                <w:rFonts w:ascii="华文仿宋" w:hAnsi="华文仿宋" w:eastAsia="华文仿宋" w:cs="华文仿宋"/>
              </w:rPr>
            </w:pPr>
          </w:p>
        </w:tc>
        <w:tc>
          <w:tcPr>
            <w:tcW w:w="1284" w:type="dxa"/>
            <w:gridSpan w:val="2"/>
            <w:vAlign w:val="center"/>
          </w:tcPr>
          <w:p>
            <w:pPr>
              <w:widowControl/>
              <w:adjustRightInd w:val="0"/>
              <w:snapToGrid w:val="0"/>
              <w:spacing w:line="240" w:lineRule="exact"/>
              <w:jc w:val="center"/>
              <w:rPr>
                <w:rFonts w:ascii="华文仿宋" w:hAnsi="华文仿宋" w:eastAsia="华文仿宋" w:cs="华文仿宋"/>
              </w:rPr>
            </w:pPr>
          </w:p>
        </w:tc>
        <w:tc>
          <w:tcPr>
            <w:tcW w:w="1604" w:type="dxa"/>
            <w:gridSpan w:val="2"/>
            <w:vAlign w:val="center"/>
          </w:tcPr>
          <w:p>
            <w:pPr>
              <w:widowControl/>
              <w:adjustRightInd w:val="0"/>
              <w:snapToGrid w:val="0"/>
              <w:spacing w:line="240" w:lineRule="exact"/>
              <w:jc w:val="center"/>
              <w:rPr>
                <w:rFonts w:ascii="华文仿宋" w:hAnsi="华文仿宋" w:eastAsia="华文仿宋" w:cs="华文仿宋"/>
              </w:rPr>
            </w:pPr>
          </w:p>
        </w:tc>
        <w:tc>
          <w:tcPr>
            <w:tcW w:w="3672" w:type="dxa"/>
            <w:gridSpan w:val="5"/>
            <w:vAlign w:val="center"/>
          </w:tcPr>
          <w:p>
            <w:pPr>
              <w:widowControl/>
              <w:adjustRightInd w:val="0"/>
              <w:snapToGrid w:val="0"/>
              <w:spacing w:line="240" w:lineRule="exact"/>
              <w:jc w:val="center"/>
              <w:rPr>
                <w:rFonts w:ascii="华文仿宋" w:hAnsi="华文仿宋" w:eastAsia="华文仿宋" w:cs="华文仿宋"/>
              </w:rPr>
            </w:pPr>
          </w:p>
        </w:tc>
        <w:tc>
          <w:tcPr>
            <w:tcW w:w="1833" w:type="dxa"/>
            <w:vAlign w:val="center"/>
          </w:tcPr>
          <w:p>
            <w:pPr>
              <w:widowControl/>
              <w:adjustRightInd w:val="0"/>
              <w:snapToGrid w:val="0"/>
              <w:spacing w:line="240" w:lineRule="exact"/>
              <w:jc w:val="center"/>
              <w:rPr>
                <w:rFonts w:ascii="华文仿宋" w:hAnsi="华文仿宋" w:eastAsia="华文仿宋" w:cs="华文仿宋"/>
              </w:rPr>
            </w:pPr>
          </w:p>
        </w:tc>
      </w:tr>
    </w:tbl>
    <w:p>
      <w:pPr>
        <w:ind w:firstLine="420" w:firstLineChars="200"/>
        <w:rPr>
          <w:rFonts w:ascii="华文仿宋" w:hAnsi="华文仿宋" w:eastAsia="华文仿宋" w:cs="华文仿宋"/>
          <w:i/>
          <w:color w:val="auto"/>
        </w:rPr>
      </w:pPr>
      <w:r>
        <w:rPr>
          <w:rFonts w:hint="eastAsia" w:ascii="华文仿宋" w:hAnsi="华文仿宋" w:eastAsia="华文仿宋" w:cs="华文仿宋"/>
          <w:color w:val="auto"/>
        </w:rPr>
        <w:t>请报考人员在下面横线处手写：</w:t>
      </w:r>
      <w:r>
        <w:rPr>
          <w:rFonts w:hint="eastAsia" w:ascii="华文仿宋" w:hAnsi="华文仿宋" w:eastAsia="华文仿宋" w:cs="华文仿宋"/>
          <w:i/>
          <w:color w:val="auto"/>
        </w:rPr>
        <w:t>本人仅参加兖矿能源招生报名，承诺报名资料真实有效，身体健康，如有弄虚作假、故意隐瞒重大事项的行为，本人自愿放弃报名、录取资格，并承担由此带来的法律责任。</w:t>
      </w:r>
    </w:p>
    <w:p>
      <w:pPr>
        <w:widowControl/>
        <w:adjustRightInd w:val="0"/>
        <w:snapToGrid w:val="0"/>
        <w:spacing w:line="240" w:lineRule="exact"/>
        <w:rPr>
          <w:rFonts w:hint="eastAsia" w:ascii="华文仿宋" w:hAnsi="华文仿宋" w:eastAsia="华文仿宋" w:cs="华文仿宋"/>
        </w:rPr>
      </w:pPr>
    </w:p>
    <w:p>
      <w:pPr>
        <w:widowControl/>
        <w:adjustRightInd w:val="0"/>
        <w:snapToGrid w:val="0"/>
        <w:spacing w:line="240" w:lineRule="exact"/>
        <w:rPr>
          <w:rFonts w:hint="eastAsia" w:ascii="华文仿宋" w:hAnsi="华文仿宋" w:eastAsia="华文仿宋" w:cs="华文仿宋"/>
        </w:rPr>
      </w:pPr>
    </w:p>
    <w:p>
      <w:pPr>
        <w:rPr>
          <w:rFonts w:ascii="华文仿宋" w:hAnsi="华文仿宋" w:eastAsia="华文仿宋" w:cs="华文仿宋"/>
          <w:iCs/>
          <w:u w:val="single"/>
        </w:rPr>
      </w:pPr>
      <w:r>
        <w:rPr>
          <w:sz w:val="22"/>
        </w:rPr>
        <mc:AlternateContent>
          <mc:Choice Requires="wps">
            <w:drawing>
              <wp:anchor distT="0" distB="0" distL="0" distR="0" simplePos="0" relativeHeight="251659264" behindDoc="0" locked="0" layoutInCell="1" allowOverlap="1">
                <wp:simplePos x="0" y="0"/>
                <wp:positionH relativeFrom="column">
                  <wp:posOffset>3785870</wp:posOffset>
                </wp:positionH>
                <wp:positionV relativeFrom="paragraph">
                  <wp:posOffset>548640</wp:posOffset>
                </wp:positionV>
                <wp:extent cx="1979930" cy="295275"/>
                <wp:effectExtent l="0" t="0" r="0" b="0"/>
                <wp:wrapNone/>
                <wp:docPr id="1026" name="文本框 1"/>
                <wp:cNvGraphicFramePr/>
                <a:graphic xmlns:a="http://schemas.openxmlformats.org/drawingml/2006/main">
                  <a:graphicData uri="http://schemas.microsoft.com/office/word/2010/wordprocessingShape">
                    <wps:wsp>
                      <wps:cNvSpPr/>
                      <wps:spPr>
                        <a:xfrm>
                          <a:off x="0" y="0"/>
                          <a:ext cx="1979930" cy="295273"/>
                        </a:xfrm>
                        <a:prstGeom prst="rect">
                          <a:avLst/>
                        </a:prstGeom>
                        <a:ln>
                          <a:noFill/>
                        </a:ln>
                      </wps:spPr>
                      <wps:txbx>
                        <w:txbxContent>
                          <w:p>
                            <w:pPr>
                              <w:rPr>
                                <w:rFonts w:hint="eastAsia" w:eastAsia="微软雅黑"/>
                              </w:rPr>
                            </w:pPr>
                            <w:r>
                              <w:rPr>
                                <w:rFonts w:hint="eastAsia"/>
                              </w:rPr>
                              <w:t>签字（手印）：</w:t>
                            </w:r>
                          </w:p>
                        </w:txbxContent>
                      </wps:txbx>
                      <wps:bodyPr upright="1"/>
                    </wps:wsp>
                  </a:graphicData>
                </a:graphic>
              </wp:anchor>
            </w:drawing>
          </mc:Choice>
          <mc:Fallback>
            <w:pict>
              <v:rect id="文本框 1" o:spid="_x0000_s1026" o:spt="1" style="position:absolute;left:0pt;margin-left:298.1pt;margin-top:43.2pt;height:23.25pt;width:155.9pt;z-index:251659264;mso-width-relative:page;mso-height-relative:page;" filled="f" stroked="f" coordsize="21600,21600" o:gfxdata="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xHIUs2gAAAAoBAAAP&#10;AAAAAAAAAAEAIAAAACIAAABkcnMvZG93bnJldi54bWxQSwECFAAUAAAACACHTuJAn6QD56QBAAA8&#10;AwAADgAAAAAAAAABACAAAAApAQAAZHJzL2Uyb0RvYy54bWxQSwUGAAAAAAYABgBZAQAAPwUAAAAA&#10;">
                <v:fill on="f" focussize="0,0"/>
                <v:stroke on="f"/>
                <v:imagedata o:title=""/>
                <o:lock v:ext="edit" aspectratio="f"/>
                <v:textbox>
                  <w:txbxContent>
                    <w:p>
                      <w:pPr>
                        <w:rPr>
                          <w:rFonts w:hint="eastAsia" w:eastAsia="微软雅黑"/>
                        </w:rPr>
                      </w:pPr>
                      <w:r>
                        <w:rPr>
                          <w:rFonts w:hint="eastAsia"/>
                        </w:rPr>
                        <w:t>签字（手印）：</w:t>
                      </w:r>
                    </w:p>
                  </w:txbxContent>
                </v:textbox>
              </v:rect>
            </w:pict>
          </mc:Fallback>
        </mc:AlternateContent>
      </w:r>
      <w:r>
        <w:rPr>
          <w:sz w:val="22"/>
        </w:rPr>
        <mc:AlternateContent>
          <mc:Choice Requires="wps">
            <w:drawing>
              <wp:anchor distT="0" distB="0" distL="0" distR="0" simplePos="0" relativeHeight="251660288" behindDoc="0" locked="0" layoutInCell="1" allowOverlap="1">
                <wp:simplePos x="0" y="0"/>
                <wp:positionH relativeFrom="column">
                  <wp:posOffset>-423545</wp:posOffset>
                </wp:positionH>
                <wp:positionV relativeFrom="paragraph">
                  <wp:posOffset>909955</wp:posOffset>
                </wp:positionV>
                <wp:extent cx="6229350" cy="635"/>
                <wp:effectExtent l="0" t="0" r="0" b="0"/>
                <wp:wrapNone/>
                <wp:docPr id="1027" name="直接连接符 2"/>
                <wp:cNvGraphicFramePr/>
                <a:graphic xmlns:a="http://schemas.openxmlformats.org/drawingml/2006/main">
                  <a:graphicData uri="http://schemas.microsoft.com/office/word/2010/wordprocessingShape">
                    <wps:wsp>
                      <wps:cNvCnPr/>
                      <wps:spPr>
                        <a:xfrm>
                          <a:off x="0" y="0"/>
                          <a:ext cx="6229350" cy="63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2" o:spid="_x0000_s1026" o:spt="20" style="position:absolute;left:0pt;margin-left:-33.35pt;margin-top:71.65pt;height:0.05pt;width:490.5pt;z-index:251660288;mso-width-relative:page;mso-height-relative:page;" filled="f" stroked="t" coordsize="21600,21600" o:gfxdata="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EADwq2AAAAAsBAAAPAAAAAAAAAAEAIAAAACIAAABkcnMvZG93bnJldi54bWxQSwEC&#10;FAAUAAAACACHTuJAm2htzvQBAADnAwAADgAAAAAAAAABACAAAAAnAQAAZHJzL2Uyb0RvYy54bWxQ&#10;SwUGAAAAAAYABgBZAQAAjQUAAAAA&#10;">
                <v:fill on="f" focussize="0,0"/>
                <v:stroke color="#000000" joinstyle="round"/>
                <v:imagedata o:title=""/>
                <o:lock v:ext="edit" aspectratio="f"/>
              </v:line>
            </w:pict>
          </mc:Fallback>
        </mc:AlternateContent>
      </w:r>
      <w:r>
        <w:rPr>
          <w:sz w:val="22"/>
        </w:rPr>
        <mc:AlternateContent>
          <mc:Choice Requires="wps">
            <w:drawing>
              <wp:anchor distT="0" distB="0" distL="0" distR="0" simplePos="0" relativeHeight="251661312" behindDoc="0" locked="0" layoutInCell="1" allowOverlap="1">
                <wp:simplePos x="0" y="0"/>
                <wp:positionH relativeFrom="column">
                  <wp:posOffset>-413385</wp:posOffset>
                </wp:positionH>
                <wp:positionV relativeFrom="paragraph">
                  <wp:posOffset>491490</wp:posOffset>
                </wp:positionV>
                <wp:extent cx="6229350" cy="635"/>
                <wp:effectExtent l="0" t="0" r="0" b="0"/>
                <wp:wrapNone/>
                <wp:docPr id="1028" name="直接连接符 4"/>
                <wp:cNvGraphicFramePr/>
                <a:graphic xmlns:a="http://schemas.openxmlformats.org/drawingml/2006/main">
                  <a:graphicData uri="http://schemas.microsoft.com/office/word/2010/wordprocessingShape">
                    <wps:wsp>
                      <wps:cNvCnPr/>
                      <wps:spPr>
                        <a:xfrm>
                          <a:off x="0" y="0"/>
                          <a:ext cx="6229350"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 o:spid="_x0000_s1026" o:spt="20" style="position:absolute;left:0pt;margin-left:-32.55pt;margin-top:38.7pt;height:0.05pt;width:490.5pt;z-index:251661312;mso-width-relative:page;mso-height-relative:page;" filled="f" stroked="t" coordsize="21600,21600" o:gfxdata="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QLRNQ2AAAAAkBAAAPAAAAAAAAAAEAIAAAACIAAABkcnMvZG93bnJldi54bWxQ&#10;SwECFAAUAAAACACHTuJAyvII+/cBAADnAwAADgAAAAAAAAABACAAAAAnAQAAZHJzL2Uyb0RvYy54&#10;bWxQSwUGAAAAAAYABgBZAQAAkAUAAAAA&#10;">
                <v:fill on="f" focussize="0,0"/>
                <v:stroke color="#000000" joinstyle="round"/>
                <v:imagedata o:title=""/>
                <o:lock v:ext="edit" aspectratio="f"/>
              </v:line>
            </w:pict>
          </mc:Fallback>
        </mc:AlternateContent>
      </w:r>
      <w:r>
        <w:rPr>
          <w:sz w:val="22"/>
        </w:rPr>
        <mc:AlternateContent>
          <mc:Choice Requires="wps">
            <w:drawing>
              <wp:anchor distT="0" distB="0" distL="0" distR="0" simplePos="0" relativeHeight="251662336" behindDoc="0" locked="0" layoutInCell="1" allowOverlap="1">
                <wp:simplePos x="0" y="0"/>
                <wp:positionH relativeFrom="column">
                  <wp:posOffset>-423545</wp:posOffset>
                </wp:positionH>
                <wp:positionV relativeFrom="paragraph">
                  <wp:posOffset>158115</wp:posOffset>
                </wp:positionV>
                <wp:extent cx="6229350" cy="635"/>
                <wp:effectExtent l="0" t="0" r="0" b="0"/>
                <wp:wrapNone/>
                <wp:docPr id="1029" name="直接连接符 3"/>
                <wp:cNvGraphicFramePr/>
                <a:graphic xmlns:a="http://schemas.openxmlformats.org/drawingml/2006/main">
                  <a:graphicData uri="http://schemas.microsoft.com/office/word/2010/wordprocessingShape">
                    <wps:wsp>
                      <wps:cNvCnPr/>
                      <wps:spPr>
                        <a:xfrm>
                          <a:off x="0" y="0"/>
                          <a:ext cx="6229350" cy="63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3" o:spid="_x0000_s1026" o:spt="20" style="position:absolute;left:0pt;margin-left:-33.35pt;margin-top:12.45pt;height:0.05pt;width:490.5pt;z-index:251662336;mso-width-relative:page;mso-height-relative:page;" filled="f" stroked="t" coordsize="21600,21600" o:gfxdata="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qhuaXYAAAACQEAAA8AAAAAAAAAAQAgAAAAIgAAAGRycy9kb3ducmV2LnhtbFBLAQIU&#10;ABQAAAAIAIdO4kA8jeAd8wEAAOcDAAAOAAAAAAAAAAEAIAAAACcBAABkcnMvZTJvRG9jLnhtbFBL&#10;BQYAAAAABgAGAFkBAACMBQAAAAA=&#10;">
                <v:fill on="f" focussize="0,0"/>
                <v:stroke color="#000000" joinstyle="round"/>
                <v:imagedata o:title=""/>
                <o:lock v:ext="edit" aspectratio="f"/>
              </v:line>
            </w:pict>
          </mc:Fallback>
        </mc:AlternateContent>
      </w:r>
    </w:p>
    <w:p>
      <w:pPr>
        <w:tabs>
          <w:tab w:val="left" w:pos="1632"/>
        </w:tabs>
        <w:jc w:val="left"/>
        <w:rPr>
          <w:rFonts w:ascii="仿宋" w:hAnsi="仿宋" w:eastAsia="仿宋"/>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C5CAE6-B96A-4779-ADED-EEC0D73A46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6D774E2-5DB2-44F4-A026-5A4EE4555566}"/>
  </w:font>
  <w:font w:name="楷体_GB2312">
    <w:panose1 w:val="02010609030101010101"/>
    <w:charset w:val="86"/>
    <w:family w:val="modern"/>
    <w:pitch w:val="default"/>
    <w:sig w:usb0="00000001" w:usb1="080E0000" w:usb2="00000000" w:usb3="00000000" w:csb0="00040000" w:csb1="00000000"/>
    <w:embedRegular r:id="rId3" w:fontKey="{A4EC7595-32D2-432B-81FF-B660346C0D7A}"/>
  </w:font>
  <w:font w:name="方正小标宋简体">
    <w:panose1 w:val="02000000000000000000"/>
    <w:charset w:val="86"/>
    <w:family w:val="auto"/>
    <w:pitch w:val="default"/>
    <w:sig w:usb0="00000001" w:usb1="08000000" w:usb2="00000000" w:usb3="00000000" w:csb0="00040000" w:csb1="00000000"/>
    <w:embedRegular r:id="rId4" w:fontKey="{2512A227-8604-4033-B863-5AA98D048C62}"/>
  </w:font>
  <w:font w:name="仿宋">
    <w:panose1 w:val="02010609060101010101"/>
    <w:charset w:val="86"/>
    <w:family w:val="modern"/>
    <w:pitch w:val="default"/>
    <w:sig w:usb0="800002BF" w:usb1="38CF7CFA" w:usb2="00000016" w:usb3="00000000" w:csb0="00040001" w:csb1="00000000"/>
    <w:embedRegular r:id="rId5" w:fontKey="{B252972D-7208-4782-ABC7-757F58C3E441}"/>
  </w:font>
  <w:font w:name="仿宋_GB2312">
    <w:panose1 w:val="02010609030101010101"/>
    <w:charset w:val="86"/>
    <w:family w:val="modern"/>
    <w:pitch w:val="default"/>
    <w:sig w:usb0="00000001" w:usb1="080E0000" w:usb2="00000000" w:usb3="00000000" w:csb0="00040000" w:csb1="00000000"/>
    <w:embedRegular r:id="rId6" w:fontKey="{0A0DECE1-0FA7-4B83-9CCE-6D98F521E45B}"/>
  </w:font>
  <w:font w:name="华文仿宋">
    <w:panose1 w:val="02010600040101010101"/>
    <w:charset w:val="86"/>
    <w:family w:val="auto"/>
    <w:pitch w:val="default"/>
    <w:sig w:usb0="00000287" w:usb1="080F0000" w:usb2="00000000" w:usb3="00000000" w:csb0="0004009F" w:csb1="DFD70000"/>
    <w:embedRegular r:id="rId7" w:fontKey="{C98EF2C6-330A-40C4-A7D3-ACA0B0FD4FCA}"/>
  </w:font>
  <w:font w:name="微软雅黑">
    <w:panose1 w:val="020B0503020204020204"/>
    <w:charset w:val="86"/>
    <w:family w:val="swiss"/>
    <w:pitch w:val="default"/>
    <w:sig w:usb0="80000287" w:usb1="2ACF3C50" w:usb2="00000016" w:usb3="00000000" w:csb0="0004001F" w:csb1="00000000"/>
    <w:embedRegular r:id="rId8" w:fontKey="{5E61DAB0-43CA-4CE3-9750-702F0F406B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0OTE5ZTdlNWJlYTk1YjFmZmY5NzU3MDhmZDRmZjgifQ=="/>
  </w:docVars>
  <w:rsids>
    <w:rsidRoot w:val="00D43F72"/>
    <w:rsid w:val="00021577"/>
    <w:rsid w:val="00040D11"/>
    <w:rsid w:val="00064D44"/>
    <w:rsid w:val="000719B0"/>
    <w:rsid w:val="00085904"/>
    <w:rsid w:val="000C358D"/>
    <w:rsid w:val="00123079"/>
    <w:rsid w:val="00161385"/>
    <w:rsid w:val="002A59B4"/>
    <w:rsid w:val="002B452E"/>
    <w:rsid w:val="002B4854"/>
    <w:rsid w:val="002C47FD"/>
    <w:rsid w:val="003A0250"/>
    <w:rsid w:val="003A66A4"/>
    <w:rsid w:val="003C2FE5"/>
    <w:rsid w:val="004B6DF2"/>
    <w:rsid w:val="00554D5A"/>
    <w:rsid w:val="00576281"/>
    <w:rsid w:val="00582E05"/>
    <w:rsid w:val="00686056"/>
    <w:rsid w:val="006D17D8"/>
    <w:rsid w:val="00744825"/>
    <w:rsid w:val="007845DC"/>
    <w:rsid w:val="007858DE"/>
    <w:rsid w:val="007E358E"/>
    <w:rsid w:val="007E58AF"/>
    <w:rsid w:val="00885EB2"/>
    <w:rsid w:val="008B7A3A"/>
    <w:rsid w:val="008E123B"/>
    <w:rsid w:val="008F17AF"/>
    <w:rsid w:val="0097121C"/>
    <w:rsid w:val="00991F3B"/>
    <w:rsid w:val="00AB68D8"/>
    <w:rsid w:val="00B02A5D"/>
    <w:rsid w:val="00BD602D"/>
    <w:rsid w:val="00C12AC5"/>
    <w:rsid w:val="00CA7E04"/>
    <w:rsid w:val="00D35C6B"/>
    <w:rsid w:val="00D43F72"/>
    <w:rsid w:val="00D52369"/>
    <w:rsid w:val="00DB5DEA"/>
    <w:rsid w:val="00E26DDD"/>
    <w:rsid w:val="00E6148A"/>
    <w:rsid w:val="00F5340C"/>
    <w:rsid w:val="00F54F2F"/>
    <w:rsid w:val="00FC1799"/>
    <w:rsid w:val="0534627A"/>
    <w:rsid w:val="05866AEF"/>
    <w:rsid w:val="05D37D25"/>
    <w:rsid w:val="09B604F2"/>
    <w:rsid w:val="0C9D206B"/>
    <w:rsid w:val="0D066E05"/>
    <w:rsid w:val="0E6F3E7F"/>
    <w:rsid w:val="10FC757C"/>
    <w:rsid w:val="137C1C41"/>
    <w:rsid w:val="14D81F4C"/>
    <w:rsid w:val="14F11A91"/>
    <w:rsid w:val="1557566D"/>
    <w:rsid w:val="15CC346A"/>
    <w:rsid w:val="17024309"/>
    <w:rsid w:val="1B5B4688"/>
    <w:rsid w:val="1EEE4379"/>
    <w:rsid w:val="1FA8625C"/>
    <w:rsid w:val="2164183D"/>
    <w:rsid w:val="26A30712"/>
    <w:rsid w:val="27B22717"/>
    <w:rsid w:val="27FE0E61"/>
    <w:rsid w:val="28013942"/>
    <w:rsid w:val="292C49EE"/>
    <w:rsid w:val="29CC6CA4"/>
    <w:rsid w:val="2C5B064A"/>
    <w:rsid w:val="2E7A444E"/>
    <w:rsid w:val="30825281"/>
    <w:rsid w:val="369260AD"/>
    <w:rsid w:val="386F48F8"/>
    <w:rsid w:val="38AE22ED"/>
    <w:rsid w:val="391E1E7A"/>
    <w:rsid w:val="39802B27"/>
    <w:rsid w:val="3A985EFB"/>
    <w:rsid w:val="3B6748EA"/>
    <w:rsid w:val="3E853653"/>
    <w:rsid w:val="3F086945"/>
    <w:rsid w:val="3F5E56C6"/>
    <w:rsid w:val="41E73751"/>
    <w:rsid w:val="41F80E97"/>
    <w:rsid w:val="425C413F"/>
    <w:rsid w:val="43516FB2"/>
    <w:rsid w:val="43B35FE0"/>
    <w:rsid w:val="43E066A9"/>
    <w:rsid w:val="46DC584E"/>
    <w:rsid w:val="47E36637"/>
    <w:rsid w:val="4C023631"/>
    <w:rsid w:val="4EC45545"/>
    <w:rsid w:val="4F351F9F"/>
    <w:rsid w:val="4F4A531F"/>
    <w:rsid w:val="519D6E03"/>
    <w:rsid w:val="55361237"/>
    <w:rsid w:val="568B06F7"/>
    <w:rsid w:val="56B05454"/>
    <w:rsid w:val="57C616ED"/>
    <w:rsid w:val="5B9A0C44"/>
    <w:rsid w:val="60926B5E"/>
    <w:rsid w:val="62AC4B76"/>
    <w:rsid w:val="64A5151D"/>
    <w:rsid w:val="6AA11B11"/>
    <w:rsid w:val="6BD46244"/>
    <w:rsid w:val="6D0A3DFA"/>
    <w:rsid w:val="6E4678CD"/>
    <w:rsid w:val="72A210FC"/>
    <w:rsid w:val="72C963D7"/>
    <w:rsid w:val="72FA6BA2"/>
    <w:rsid w:val="736507F6"/>
    <w:rsid w:val="768F16E6"/>
    <w:rsid w:val="78A724FD"/>
    <w:rsid w:val="78C75341"/>
    <w:rsid w:val="7DA7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link w:val="21"/>
    <w:autoRedefine/>
    <w:qFormat/>
    <w:uiPriority w:val="0"/>
    <w:pPr>
      <w:keepNext/>
      <w:keepLines/>
      <w:spacing w:beforeAutospacing="0" w:afterAutospacing="0" w:line="240" w:lineRule="auto"/>
      <w:ind w:firstLine="883" w:firstLineChars="200"/>
      <w:outlineLvl w:val="2"/>
    </w:pPr>
    <w:rPr>
      <w:rFonts w:ascii="Calibri" w:hAnsi="Calibri" w:eastAsia="楷体_GB2312" w:cs="Times New Roman"/>
      <w:b/>
      <w:sz w:val="32"/>
      <w:szCs w:val="22"/>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qFormat/>
    <w:uiPriority w:val="0"/>
    <w:pPr>
      <w:jc w:val="left"/>
    </w:pPr>
  </w:style>
  <w:style w:type="paragraph" w:styleId="4">
    <w:name w:val="Date"/>
    <w:basedOn w:val="1"/>
    <w:next w:val="1"/>
    <w:link w:val="17"/>
    <w:autoRedefine/>
    <w:qFormat/>
    <w:uiPriority w:val="99"/>
    <w:pPr>
      <w:ind w:left="100" w:leftChars="2500"/>
    </w:pPr>
  </w:style>
  <w:style w:type="paragraph" w:styleId="5">
    <w:name w:val="Balloon Text"/>
    <w:basedOn w:val="1"/>
    <w:link w:val="20"/>
    <w:autoRedefine/>
    <w:qFormat/>
    <w:uiPriority w:val="0"/>
    <w:rPr>
      <w:sz w:val="18"/>
      <w:szCs w:val="18"/>
    </w:rPr>
  </w:style>
  <w:style w:type="paragraph" w:styleId="6">
    <w:name w:val="footer"/>
    <w:basedOn w:val="1"/>
    <w:link w:val="16"/>
    <w:autoRedefine/>
    <w:qFormat/>
    <w:uiPriority w:val="0"/>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99"/>
    <w:pPr>
      <w:widowControl/>
      <w:spacing w:before="100" w:beforeAutospacing="1" w:after="100" w:afterAutospacing="1"/>
      <w:jc w:val="left"/>
    </w:pPr>
    <w:rPr>
      <w:rFonts w:ascii="宋体" w:hAnsi="宋体"/>
      <w:kern w:val="0"/>
      <w:sz w:val="24"/>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autoRedefine/>
    <w:qFormat/>
    <w:uiPriority w:val="0"/>
    <w:rPr>
      <w:sz w:val="21"/>
      <w:szCs w:val="21"/>
    </w:rPr>
  </w:style>
  <w:style w:type="paragraph" w:customStyle="1" w:styleId="13">
    <w:name w:val="Body text|1"/>
    <w:basedOn w:val="1"/>
    <w:autoRedefine/>
    <w:qFormat/>
    <w:uiPriority w:val="0"/>
    <w:pPr>
      <w:spacing w:line="422" w:lineRule="auto"/>
      <w:ind w:firstLine="400"/>
    </w:pPr>
    <w:rPr>
      <w:rFonts w:ascii="宋体" w:hAnsi="宋体"/>
      <w:sz w:val="30"/>
      <w:szCs w:val="30"/>
      <w:lang w:val="zh-TW" w:eastAsia="zh-TW" w:bidi="zh-TW"/>
    </w:rPr>
  </w:style>
  <w:style w:type="paragraph" w:customStyle="1" w:styleId="14">
    <w:name w:val="Other|1"/>
    <w:basedOn w:val="1"/>
    <w:autoRedefine/>
    <w:qFormat/>
    <w:uiPriority w:val="0"/>
    <w:pPr>
      <w:spacing w:line="422" w:lineRule="auto"/>
      <w:ind w:firstLine="400"/>
    </w:pPr>
    <w:rPr>
      <w:rFonts w:ascii="宋体" w:hAnsi="宋体"/>
      <w:sz w:val="30"/>
      <w:szCs w:val="30"/>
      <w:lang w:val="zh-TW" w:eastAsia="zh-TW" w:bidi="zh-TW"/>
    </w:rPr>
  </w:style>
  <w:style w:type="character" w:customStyle="1" w:styleId="15">
    <w:name w:val="页眉 Char"/>
    <w:basedOn w:val="11"/>
    <w:link w:val="7"/>
    <w:autoRedefine/>
    <w:qFormat/>
    <w:uiPriority w:val="0"/>
    <w:rPr>
      <w:rFonts w:ascii="Calibri" w:hAnsi="Calibri" w:cs="宋体"/>
      <w:kern w:val="2"/>
      <w:sz w:val="18"/>
      <w:szCs w:val="18"/>
    </w:rPr>
  </w:style>
  <w:style w:type="character" w:customStyle="1" w:styleId="16">
    <w:name w:val="页脚 Char"/>
    <w:basedOn w:val="11"/>
    <w:link w:val="6"/>
    <w:autoRedefine/>
    <w:qFormat/>
    <w:uiPriority w:val="0"/>
    <w:rPr>
      <w:rFonts w:ascii="Calibri" w:hAnsi="Calibri" w:cs="宋体"/>
      <w:kern w:val="2"/>
      <w:sz w:val="18"/>
      <w:szCs w:val="18"/>
    </w:rPr>
  </w:style>
  <w:style w:type="character" w:customStyle="1" w:styleId="17">
    <w:name w:val="日期 Char"/>
    <w:basedOn w:val="11"/>
    <w:link w:val="4"/>
    <w:autoRedefine/>
    <w:qFormat/>
    <w:uiPriority w:val="99"/>
    <w:rPr>
      <w:kern w:val="2"/>
      <w:sz w:val="21"/>
      <w:szCs w:val="24"/>
    </w:rPr>
  </w:style>
  <w:style w:type="character" w:customStyle="1" w:styleId="18">
    <w:name w:val="批注文字 Char"/>
    <w:basedOn w:val="11"/>
    <w:link w:val="3"/>
    <w:autoRedefine/>
    <w:qFormat/>
    <w:uiPriority w:val="0"/>
    <w:rPr>
      <w:kern w:val="2"/>
      <w:sz w:val="21"/>
      <w:szCs w:val="24"/>
    </w:rPr>
  </w:style>
  <w:style w:type="paragraph" w:customStyle="1" w:styleId="19">
    <w:name w:val="修订1"/>
    <w:autoRedefine/>
    <w:hidden/>
    <w:semiHidden/>
    <w:qFormat/>
    <w:uiPriority w:val="99"/>
    <w:rPr>
      <w:rFonts w:ascii="Calibri" w:hAnsi="Calibri" w:eastAsia="宋体" w:cs="宋体"/>
      <w:kern w:val="2"/>
      <w:sz w:val="21"/>
      <w:szCs w:val="24"/>
      <w:lang w:val="en-US" w:eastAsia="zh-CN" w:bidi="ar-SA"/>
    </w:rPr>
  </w:style>
  <w:style w:type="character" w:customStyle="1" w:styleId="20">
    <w:name w:val="批注框文本 Char"/>
    <w:basedOn w:val="11"/>
    <w:link w:val="5"/>
    <w:autoRedefine/>
    <w:qFormat/>
    <w:uiPriority w:val="0"/>
    <w:rPr>
      <w:kern w:val="2"/>
      <w:sz w:val="18"/>
      <w:szCs w:val="18"/>
    </w:rPr>
  </w:style>
  <w:style w:type="character" w:customStyle="1" w:styleId="21">
    <w:name w:val="标题 3 Char"/>
    <w:link w:val="2"/>
    <w:autoRedefine/>
    <w:qFormat/>
    <w:uiPriority w:val="0"/>
    <w:rPr>
      <w:rFonts w:ascii="Calibri" w:hAnsi="Calibri" w:eastAsia="楷体_GB2312" w:cs="Times New Roman"/>
      <w:b/>
      <w:sz w:val="3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4D8682-3023-480C-B8B8-CED9D825CED8}">
  <ds:schemaRefs/>
</ds:datastoreItem>
</file>

<file path=customXml/itemProps3.xml><?xml version="1.0" encoding="utf-8"?>
<ds:datastoreItem xmlns:ds="http://schemas.openxmlformats.org/officeDocument/2006/customXml" ds:itemID="{8F118111-F19F-44C1-8CD1-8C29A6AB575F}">
  <ds:schemaRefs/>
</ds:datastoreItem>
</file>

<file path=customXml/itemProps4.xml><?xml version="1.0" encoding="utf-8"?>
<ds:datastoreItem xmlns:ds="http://schemas.openxmlformats.org/officeDocument/2006/customXml" ds:itemID="{313866A9-7946-43EE-B945-0962F59939EA}">
  <ds:schemaRefs/>
</ds:datastoreItem>
</file>

<file path=customXml/itemProps5.xml><?xml version="1.0" encoding="utf-8"?>
<ds:datastoreItem xmlns:ds="http://schemas.openxmlformats.org/officeDocument/2006/customXml" ds:itemID="{53DCC76B-6A2F-4812-8B6A-F3242BD9F867}">
  <ds:schemaRefs/>
</ds:datastoreItem>
</file>

<file path=customXml/itemProps6.xml><?xml version="1.0" encoding="utf-8"?>
<ds:datastoreItem xmlns:ds="http://schemas.openxmlformats.org/officeDocument/2006/customXml" ds:itemID="{AC4D8BC1-BF44-42E2-A210-2547BF36B275}">
  <ds:schemaRefs/>
</ds:datastoreItem>
</file>

<file path=customXml/itemProps7.xml><?xml version="1.0" encoding="utf-8"?>
<ds:datastoreItem xmlns:ds="http://schemas.openxmlformats.org/officeDocument/2006/customXml" ds:itemID="{CFFDB476-A598-4AF0-8989-2AB82E23E651}">
  <ds:schemaRefs/>
</ds:datastoreItem>
</file>

<file path=customXml/itemProps8.xml><?xml version="1.0" encoding="utf-8"?>
<ds:datastoreItem xmlns:ds="http://schemas.openxmlformats.org/officeDocument/2006/customXml" ds:itemID="{D68CDB84-02F9-47B6-A134-89817BAB005E}">
  <ds:schemaRefs/>
</ds:datastoreItem>
</file>

<file path=customXml/itemProps9.xml><?xml version="1.0" encoding="utf-8"?>
<ds:datastoreItem xmlns:ds="http://schemas.openxmlformats.org/officeDocument/2006/customXml" ds:itemID="{35AE7A1B-D5D4-41F5-8615-8F8E2AE1A657}">
  <ds:schemaRefs/>
</ds:datastoreItem>
</file>

<file path=docProps/app.xml><?xml version="1.0" encoding="utf-8"?>
<Properties xmlns="http://schemas.openxmlformats.org/officeDocument/2006/extended-properties" xmlns:vt="http://schemas.openxmlformats.org/officeDocument/2006/docPropsVTypes">
  <Template>Normal</Template>
  <Pages>7</Pages>
  <Words>2565</Words>
  <Characters>2749</Characters>
  <Lines>21</Lines>
  <Paragraphs>6</Paragraphs>
  <TotalTime>8</TotalTime>
  <ScaleCrop>false</ScaleCrop>
  <LinksUpToDate>false</LinksUpToDate>
  <CharactersWithSpaces>2924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2023-06-20T02:00:00Z</dcterms:created>
  <dc:creator>这不是高老师嘛</dc:creator>
  <cp:lastModifiedBy>手凉还是揣兜吧~</cp:lastModifiedBy>
  <cp:lastPrinted>2023-06-19T23:51:00Z</cp:lastPrinted>
  <dcterms:modified xsi:type="dcterms:W3CDTF">2024-06-24T12:25:56Z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DD73C193822E42A994540A370EA4E5D6_13</vt:lpwstr>
  </property>
  <property fmtid="{D5CDD505-2E9C-101B-9397-08002B2CF9AE}" pid="4" name="5B77E7CEEC58BC6AFAE8886BEB80DBEB">
    <vt:lpwstr>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</vt:lpwstr>
  </property>
</Properties>
</file>