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hAnsi="宋体"/>
          <w:b/>
          <w:bCs/>
          <w:szCs w:val="21"/>
        </w:rPr>
      </w:pPr>
      <w:r>
        <w:rPr>
          <w:rFonts w:hint="eastAsia" w:ascii="宋体" w:hAnsi="宋体" w:cs="宋体"/>
          <w:b/>
          <w:szCs w:val="21"/>
        </w:rPr>
        <w:t>9米LED单臂路灯</w:t>
      </w:r>
    </w:p>
    <w:tbl>
      <w:tblPr>
        <w:tblStyle w:val="2"/>
        <w:tblW w:w="10352" w:type="dxa"/>
        <w:tblInd w:w="-46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2"/>
        <w:gridCol w:w="1350"/>
        <w:gridCol w:w="3300"/>
        <w:gridCol w:w="535"/>
        <w:gridCol w:w="245"/>
        <w:gridCol w:w="792"/>
        <w:gridCol w:w="1413"/>
        <w:gridCol w:w="18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02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设计</w:t>
            </w:r>
          </w:p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分项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产品名称</w:t>
            </w:r>
          </w:p>
        </w:tc>
        <w:tc>
          <w:tcPr>
            <w:tcW w:w="330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9米LED单臂路灯</w:t>
            </w:r>
          </w:p>
        </w:tc>
        <w:tc>
          <w:tcPr>
            <w:tcW w:w="78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数量</w:t>
            </w:r>
          </w:p>
        </w:tc>
        <w:tc>
          <w:tcPr>
            <w:tcW w:w="79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46</w:t>
            </w:r>
          </w:p>
        </w:tc>
        <w:tc>
          <w:tcPr>
            <w:tcW w:w="14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安装位置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新校区主干道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02" w:type="dxa"/>
            <w:vMerge w:val="restart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b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hint="eastAsia" w:ascii="宋体" w:hAnsi="宋体" w:cs="宋体"/>
                <w:b/>
                <w:sz w:val="24"/>
              </w:rPr>
            </w:pPr>
          </w:p>
          <w:p>
            <w:pPr>
              <w:spacing w:line="360" w:lineRule="auto"/>
              <w:rPr>
                <w:rFonts w:hint="eastAsia" w:ascii="宋体" w:hAnsi="宋体" w:cs="宋体"/>
                <w:b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hint="eastAsia"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路灯总成及道路灯具图样</w:t>
            </w:r>
          </w:p>
        </w:tc>
        <w:tc>
          <w:tcPr>
            <w:tcW w:w="4650" w:type="dxa"/>
            <w:gridSpan w:val="2"/>
            <w:vMerge w:val="restart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b/>
                <w:sz w:val="24"/>
              </w:rPr>
            </w:pPr>
            <w:r>
              <w:drawing>
                <wp:inline distT="0" distB="0" distL="114300" distR="114300">
                  <wp:extent cx="2808605" cy="3744595"/>
                  <wp:effectExtent l="0" t="0" r="10795" b="444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8605" cy="3744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0" w:type="dxa"/>
            <w:gridSpan w:val="5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b/>
                <w:sz w:val="24"/>
              </w:rPr>
            </w:pPr>
            <w:r>
              <w:drawing>
                <wp:inline distT="0" distB="0" distL="114300" distR="114300">
                  <wp:extent cx="2908300" cy="1456055"/>
                  <wp:effectExtent l="0" t="0" r="2540" b="6985"/>
                  <wp:docPr id="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8300" cy="1456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02" w:type="dxa"/>
            <w:vMerge w:val="continue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4650" w:type="dxa"/>
            <w:gridSpan w:val="2"/>
            <w:vMerge w:val="continue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4800" w:type="dxa"/>
            <w:gridSpan w:val="5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drawing>
                <wp:inline distT="0" distB="0" distL="114300" distR="114300">
                  <wp:extent cx="2562225" cy="2112645"/>
                  <wp:effectExtent l="0" t="0" r="13335" b="5715"/>
                  <wp:docPr id="2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225" cy="2112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02" w:type="dxa"/>
            <w:vMerge w:val="restart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b/>
                <w:sz w:val="24"/>
              </w:rPr>
            </w:pPr>
          </w:p>
          <w:p>
            <w:pPr>
              <w:spacing w:line="360" w:lineRule="auto"/>
              <w:rPr>
                <w:rFonts w:hint="eastAsia" w:ascii="宋体" w:hAnsi="宋体" w:cs="宋体"/>
                <w:b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hint="eastAsia"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道路灯具及光源电器要求</w:t>
            </w:r>
          </w:p>
        </w:tc>
        <w:tc>
          <w:tcPr>
            <w:tcW w:w="5185" w:type="dxa"/>
            <w:gridSpan w:val="3"/>
            <w:vMerge w:val="restart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灯具材质：</w:t>
            </w:r>
            <w:r>
              <w:rPr>
                <w:rFonts w:hint="eastAsia" w:ascii="宋体" w:hAnsi="宋体"/>
                <w:szCs w:val="21"/>
              </w:rPr>
              <w:t>灯体为高纯度铝锭高压压铸成型，经防腐处理后，表面静电粉末喷塑。灯体内置高纯铝反光器，反光器为棱角形，具有防眩光作用，配耐高温光学透镜，透光率达到93%以上。灯具灯壳设计散热孔，尾座由防阻燃材料组成。紧固件为不锈钢制品。</w:t>
            </w:r>
          </w:p>
        </w:tc>
        <w:tc>
          <w:tcPr>
            <w:tcW w:w="4265" w:type="dxa"/>
            <w:gridSpan w:val="4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防触电等级：I级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902" w:type="dxa"/>
            <w:vMerge w:val="continue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5185" w:type="dxa"/>
            <w:gridSpan w:val="3"/>
            <w:vMerge w:val="continue"/>
            <w:noWrap w:val="0"/>
            <w:vAlign w:val="top"/>
          </w:tcPr>
          <w:p>
            <w:pPr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4265" w:type="dxa"/>
            <w:gridSpan w:val="4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/>
                <w:b/>
                <w:bCs/>
                <w:szCs w:val="21"/>
              </w:rPr>
              <w:t>电源参数：AC220V±10%,50Hz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02" w:type="dxa"/>
            <w:vMerge w:val="continue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5185" w:type="dxa"/>
            <w:gridSpan w:val="3"/>
            <w:vMerge w:val="continue"/>
            <w:noWrap w:val="0"/>
            <w:vAlign w:val="top"/>
          </w:tcPr>
          <w:p>
            <w:pPr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4265" w:type="dxa"/>
            <w:gridSpan w:val="4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防护等级：IP65</w:t>
            </w:r>
          </w:p>
          <w:p>
            <w:pPr>
              <w:spacing w:line="360" w:lineRule="auto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绝缘电阻：&gt;10MΩ。</w:t>
            </w:r>
          </w:p>
          <w:p>
            <w:pPr>
              <w:spacing w:line="360" w:lineRule="auto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/>
                <w:b/>
                <w:szCs w:val="21"/>
              </w:rPr>
              <w:t>灯具功率因数：&gt;0.9</w:t>
            </w:r>
            <w:r>
              <w:rPr>
                <w:rFonts w:hint="eastAsia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02" w:type="dxa"/>
            <w:vMerge w:val="continue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5185" w:type="dxa"/>
            <w:gridSpan w:val="3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cs="Arial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灯具尺寸：1120*440*230（mm），投标</w:t>
            </w:r>
            <w:r>
              <w:rPr>
                <w:rFonts w:hint="eastAsia" w:ascii="宋体" w:hAnsi="宋体" w:cs="Arial"/>
                <w:b/>
                <w:bCs/>
                <w:szCs w:val="21"/>
              </w:rPr>
              <w:t>灯具尺寸不低于此要求；灯具重量（不含电器）</w:t>
            </w:r>
            <w:r>
              <w:rPr>
                <w:rFonts w:hint="eastAsia" w:ascii="宋体" w:hAnsi="宋体" w:cs="宋体"/>
                <w:szCs w:val="21"/>
                <w:highlight w:val="yellow"/>
              </w:rPr>
              <w:t>≥</w:t>
            </w:r>
            <w:r>
              <w:rPr>
                <w:rFonts w:hint="eastAsia" w:ascii="宋体" w:hAnsi="宋体" w:cs="Arial"/>
                <w:b/>
                <w:bCs/>
                <w:szCs w:val="21"/>
              </w:rPr>
              <w:t>10kg。</w:t>
            </w:r>
          </w:p>
          <w:p>
            <w:pPr>
              <w:spacing w:line="360" w:lineRule="auto"/>
              <w:rPr>
                <w:rFonts w:hint="eastAsia" w:ascii="宋体" w:hAnsi="宋体" w:cs="Arial"/>
                <w:b/>
                <w:bCs/>
                <w:szCs w:val="21"/>
              </w:rPr>
            </w:pPr>
            <w:r>
              <w:rPr>
                <w:rFonts w:hint="eastAsia" w:ascii="宋体" w:hAnsi="宋体" w:cs="Arial"/>
                <w:b/>
                <w:bCs/>
                <w:szCs w:val="21"/>
                <w:highlight w:val="yellow"/>
              </w:rPr>
              <w:t>注：谈判报价时须携带样品，不提供样品的按废标处理。</w:t>
            </w:r>
          </w:p>
          <w:p>
            <w:pPr>
              <w:spacing w:line="360" w:lineRule="auto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/>
                <w:b/>
                <w:bCs/>
                <w:szCs w:val="21"/>
              </w:rPr>
              <w:t>需提供国家级检测中心出具的检测报告原件。</w:t>
            </w:r>
          </w:p>
        </w:tc>
        <w:tc>
          <w:tcPr>
            <w:tcW w:w="4265" w:type="dxa"/>
            <w:gridSpan w:val="4"/>
            <w:noWrap w:val="0"/>
            <w:vAlign w:val="top"/>
          </w:tcPr>
          <w:p>
            <w:pPr>
              <w:rPr>
                <w:rFonts w:hint="eastAsia"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光源电器：采用150W LED</w:t>
            </w:r>
            <w:r>
              <w:rPr>
                <w:rFonts w:hint="eastAsia" w:ascii="宋体" w:hAnsi="宋体"/>
                <w:b/>
                <w:bCs/>
                <w:szCs w:val="21"/>
              </w:rPr>
              <w:t>色温：</w:t>
            </w:r>
            <w:r>
              <w:rPr>
                <w:rFonts w:ascii="宋体" w:hAnsi="宋体"/>
                <w:b/>
                <w:bCs/>
                <w:szCs w:val="21"/>
              </w:rPr>
              <w:t>4000K</w:t>
            </w:r>
            <w:r>
              <w:rPr>
                <w:rFonts w:hint="eastAsia" w:ascii="宋体" w:hAnsi="宋体"/>
                <w:b/>
                <w:bCs/>
                <w:szCs w:val="21"/>
              </w:rPr>
              <w:t>±</w:t>
            </w:r>
            <w:r>
              <w:rPr>
                <w:rFonts w:ascii="宋体" w:hAnsi="宋体"/>
                <w:szCs w:val="21"/>
              </w:rPr>
              <w:t>100K</w:t>
            </w:r>
            <w:r>
              <w:rPr>
                <w:rFonts w:hint="eastAsia" w:ascii="宋体" w:hAnsi="宋体"/>
                <w:szCs w:val="21"/>
              </w:rPr>
              <w:t>以内；显色指数≥</w:t>
            </w:r>
            <w:r>
              <w:rPr>
                <w:rFonts w:ascii="宋体" w:hAnsi="宋体"/>
                <w:szCs w:val="21"/>
              </w:rPr>
              <w:t>70</w:t>
            </w:r>
            <w:r>
              <w:rPr>
                <w:rFonts w:hint="eastAsia" w:ascii="宋体" w:hAnsi="宋体"/>
                <w:szCs w:val="21"/>
              </w:rPr>
              <w:t>；光源结温：≤</w:t>
            </w:r>
            <w:r>
              <w:rPr>
                <w:rFonts w:ascii="宋体" w:hAnsi="宋体"/>
                <w:szCs w:val="21"/>
              </w:rPr>
              <w:t>70</w:t>
            </w:r>
            <w:r>
              <w:rPr>
                <w:rFonts w:hint="eastAsia" w:ascii="宋体" w:hAnsi="宋体"/>
                <w:szCs w:val="21"/>
              </w:rPr>
              <w:t>℃；</w:t>
            </w:r>
          </w:p>
          <w:p>
            <w:pPr>
              <w:rPr>
                <w:rFonts w:hint="eastAsia"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  <w:highlight w:val="yellow"/>
              </w:rPr>
              <w:t>芯片采用飞利浦、欧司朗、科瑞、日亚等同等档次的品牌LED芯片；驱动电源采用茂硕、明纬、英飞特等同等档次的品牌</w:t>
            </w:r>
            <w:r>
              <w:rPr>
                <w:rFonts w:hint="eastAsia" w:ascii="宋体" w:hAnsi="宋体"/>
                <w:szCs w:val="21"/>
                <w:highlight w:val="yellow"/>
              </w:rPr>
              <w:t>。</w:t>
            </w:r>
          </w:p>
          <w:p>
            <w:pPr>
              <w:rPr>
                <w:rFonts w:hint="eastAsia"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灯杆内配置：2*2.5铜芯护套线及RT18熔断器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02" w:type="dxa"/>
            <w:vMerge w:val="continue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cs="宋体"/>
                <w:b/>
                <w:sz w:val="24"/>
              </w:rPr>
            </w:pPr>
            <w:bookmarkStart w:id="0" w:name="_GoBack"/>
            <w:bookmarkEnd w:id="0"/>
          </w:p>
        </w:tc>
        <w:tc>
          <w:tcPr>
            <w:tcW w:w="9450" w:type="dxa"/>
            <w:gridSpan w:val="7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灯杆制作图纸</w:t>
            </w:r>
          </w:p>
        </w:tc>
      </w:tr>
    </w:tbl>
    <w:p>
      <w:r>
        <w:drawing>
          <wp:inline distT="0" distB="0" distL="114300" distR="114300">
            <wp:extent cx="5798185" cy="8343265"/>
            <wp:effectExtent l="0" t="0" r="12065" b="6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98185" cy="834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RkOGIzOWNhMTFjNDZlZWY5NzFkMGVjNGFkNDJmMzAifQ=="/>
  </w:docVars>
  <w:rsids>
    <w:rsidRoot w:val="224D69C6"/>
    <w:rsid w:val="1DF07979"/>
    <w:rsid w:val="224D6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522</Words>
  <Characters>637</Characters>
  <Lines>0</Lines>
  <Paragraphs>0</Paragraphs>
  <TotalTime>1</TotalTime>
  <ScaleCrop>false</ScaleCrop>
  <LinksUpToDate>false</LinksUpToDate>
  <CharactersWithSpaces>639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2023-08-04T00:34:00Z</dcterms:created>
  <dc:creator>Administrator</dc:creator>
  <cp:lastModifiedBy>小楼风雨</cp:lastModifiedBy>
  <dcterms:modified xsi:type="dcterms:W3CDTF">2023-08-10T09:11:12Z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1981D3C52BB340F581055662828041A3_13</vt:lpwstr>
  </property>
</Properties>
</file>